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102" w:rsidRDefault="009D7102" w:rsidP="00BB1427">
      <w:pPr>
        <w:jc w:val="center"/>
        <w:rPr>
          <w:rFonts w:ascii="Bookman Old Style" w:hAnsi="Bookman Old Style"/>
          <w:b/>
        </w:rPr>
      </w:pPr>
      <w:r>
        <w:rPr>
          <w:noProof/>
          <w:lang w:eastAsia="it-IT"/>
        </w:rPr>
        <w:drawing>
          <wp:inline distT="0" distB="0" distL="0" distR="0">
            <wp:extent cx="796290" cy="1177127"/>
            <wp:effectExtent l="0" t="0" r="3810" b="4445"/>
            <wp:docPr id="183538270" name="Immagine 23"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00490" cy="1183335"/>
                    </a:xfrm>
                    <a:prstGeom prst="rect">
                      <a:avLst/>
                    </a:prstGeom>
                  </pic:spPr>
                </pic:pic>
              </a:graphicData>
            </a:graphic>
          </wp:inline>
        </w:drawing>
      </w:r>
    </w:p>
    <w:p w:rsidR="009D7102" w:rsidRDefault="009D7102" w:rsidP="00BB1427">
      <w:pPr>
        <w:jc w:val="center"/>
        <w:rPr>
          <w:rFonts w:ascii="Bookman Old Style" w:hAnsi="Bookman Old Style"/>
          <w:b/>
        </w:rPr>
      </w:pPr>
    </w:p>
    <w:p w:rsidR="00A43EFC" w:rsidRDefault="00A43EFC" w:rsidP="00BB1427">
      <w:pPr>
        <w:jc w:val="center"/>
        <w:rPr>
          <w:rFonts w:ascii="Bookman Old Style" w:hAnsi="Bookman Old Style"/>
          <w:b/>
        </w:rPr>
      </w:pPr>
    </w:p>
    <w:p w:rsidR="002F7CDC" w:rsidRPr="008741FA" w:rsidRDefault="009D7102" w:rsidP="00BB1427">
      <w:pPr>
        <w:jc w:val="center"/>
        <w:rPr>
          <w:rFonts w:ascii="Bookman Old Style" w:hAnsi="Bookman Old Style"/>
          <w:b/>
          <w:color w:val="002060"/>
        </w:rPr>
      </w:pPr>
      <w:r w:rsidRPr="008741FA">
        <w:rPr>
          <w:rFonts w:ascii="Bookman Old Style" w:hAnsi="Bookman Old Style"/>
          <w:b/>
          <w:color w:val="002060"/>
        </w:rPr>
        <w:t>PRIMA NOTA SULLE MISURE PER I COMUNI CONTENUTE NEL D.L. RILANCIO</w:t>
      </w:r>
    </w:p>
    <w:p w:rsidR="009D7102" w:rsidRDefault="009D7102" w:rsidP="00EB3F3E">
      <w:pPr>
        <w:jc w:val="both"/>
        <w:rPr>
          <w:rFonts w:ascii="Bookman Old Style" w:hAnsi="Bookman Old Style"/>
        </w:rPr>
      </w:pPr>
      <w:r>
        <w:rPr>
          <w:rFonts w:ascii="Bookman Old Style" w:hAnsi="Bookman Old Style"/>
        </w:rPr>
        <w:t xml:space="preserve">Si indicano di seguito le più importanti misure contenute nel decreto legge Rilancio Italia approvato dal Consiglio dei Ministri </w:t>
      </w:r>
      <w:r w:rsidR="00A43EFC">
        <w:rPr>
          <w:rFonts w:ascii="Bookman Old Style" w:hAnsi="Bookman Old Style"/>
        </w:rPr>
        <w:t>il</w:t>
      </w:r>
      <w:r>
        <w:rPr>
          <w:rFonts w:ascii="Bookman Old Style" w:hAnsi="Bookman Old Style"/>
        </w:rPr>
        <w:t xml:space="preserve"> 13 maggio 2020.</w:t>
      </w:r>
    </w:p>
    <w:p w:rsidR="00D12FE3" w:rsidRDefault="00D12FE3" w:rsidP="00D12FE3">
      <w:pPr>
        <w:rPr>
          <w:rFonts w:ascii="Bookman Old Style" w:hAnsi="Bookman Old Style"/>
          <w:b/>
        </w:rPr>
      </w:pPr>
    </w:p>
    <w:p w:rsidR="00067AF2" w:rsidRPr="008741FA" w:rsidRDefault="00544E1F" w:rsidP="00D12FE3">
      <w:pPr>
        <w:rPr>
          <w:rFonts w:ascii="Bookman Old Style" w:hAnsi="Bookman Old Style"/>
          <w:b/>
          <w:color w:val="002060"/>
          <w:u w:val="single"/>
        </w:rPr>
      </w:pPr>
      <w:r w:rsidRPr="008741FA">
        <w:rPr>
          <w:rFonts w:ascii="Bookman Old Style" w:hAnsi="Bookman Old Style"/>
          <w:b/>
          <w:color w:val="002060"/>
          <w:u w:val="single"/>
        </w:rPr>
        <w:t>FINANZA ENTI LOCALI</w:t>
      </w:r>
    </w:p>
    <w:p w:rsidR="00BB1427" w:rsidRPr="00EB3F3E" w:rsidRDefault="00BB1427" w:rsidP="00EB3F3E">
      <w:pPr>
        <w:pStyle w:val="Paragrafoelenco"/>
        <w:numPr>
          <w:ilvl w:val="0"/>
          <w:numId w:val="1"/>
        </w:numPr>
        <w:rPr>
          <w:rFonts w:ascii="Bookman Old Style" w:hAnsi="Bookman Old Style"/>
          <w:b/>
        </w:rPr>
      </w:pPr>
      <w:r w:rsidRPr="00EB3F3E">
        <w:rPr>
          <w:rFonts w:ascii="Bookman Old Style" w:hAnsi="Bookman Old Style"/>
          <w:b/>
        </w:rPr>
        <w:t>Fondo per l’esercizio delle funzioni fondamentali degli enti locali</w:t>
      </w:r>
      <w:r w:rsidR="009D7102" w:rsidRPr="009D7102">
        <w:rPr>
          <w:rFonts w:ascii="Bookman Old Style" w:hAnsi="Bookman Old Style"/>
          <w:b/>
        </w:rPr>
        <w:t xml:space="preserve"> </w:t>
      </w:r>
      <w:r w:rsidR="009D7102">
        <w:rPr>
          <w:rFonts w:ascii="Bookman Old Style" w:hAnsi="Bookman Old Style"/>
          <w:b/>
        </w:rPr>
        <w:t>(</w:t>
      </w:r>
      <w:r w:rsidR="009D7102" w:rsidRPr="00EB3F3E">
        <w:rPr>
          <w:rFonts w:ascii="Bookman Old Style" w:hAnsi="Bookman Old Style"/>
          <w:b/>
        </w:rPr>
        <w:t>Art.113</w:t>
      </w:r>
      <w:r w:rsidR="009D7102">
        <w:rPr>
          <w:rFonts w:ascii="Bookman Old Style" w:hAnsi="Bookman Old Style"/>
          <w:b/>
        </w:rPr>
        <w:t>)</w:t>
      </w:r>
    </w:p>
    <w:p w:rsidR="0033559B" w:rsidRDefault="009D7102" w:rsidP="00EB3F3E">
      <w:pPr>
        <w:jc w:val="both"/>
        <w:rPr>
          <w:rFonts w:ascii="Bookman Old Style" w:hAnsi="Bookman Old Style"/>
        </w:rPr>
      </w:pPr>
      <w:r>
        <w:rPr>
          <w:rFonts w:ascii="Bookman Old Style" w:hAnsi="Bookman Old Style"/>
        </w:rPr>
        <w:t>Viene ist</w:t>
      </w:r>
      <w:r w:rsidR="00BB1427" w:rsidRPr="002F7CDC">
        <w:rPr>
          <w:rFonts w:ascii="Bookman Old Style" w:hAnsi="Bookman Old Style"/>
        </w:rPr>
        <w:t>itu</w:t>
      </w:r>
      <w:r>
        <w:rPr>
          <w:rFonts w:ascii="Bookman Old Style" w:hAnsi="Bookman Old Style"/>
        </w:rPr>
        <w:t xml:space="preserve">ito </w:t>
      </w:r>
      <w:r w:rsidR="00BB1427" w:rsidRPr="002F7CDC">
        <w:rPr>
          <w:rFonts w:ascii="Bookman Old Style" w:hAnsi="Bookman Old Style"/>
        </w:rPr>
        <w:t xml:space="preserve">un </w:t>
      </w:r>
      <w:r w:rsidR="00BB1427" w:rsidRPr="00EB3F3E">
        <w:rPr>
          <w:rFonts w:ascii="Bookman Old Style" w:hAnsi="Bookman Old Style"/>
          <w:b/>
        </w:rPr>
        <w:t>fondo presso il Ministero dell’interno con una dotazione per l’anno 2020 di 3 miliardi di euro</w:t>
      </w:r>
      <w:r w:rsidR="008741FA">
        <w:rPr>
          <w:rFonts w:ascii="Bookman Old Style" w:hAnsi="Bookman Old Style"/>
          <w:b/>
        </w:rPr>
        <w:t xml:space="preserve"> per i C</w:t>
      </w:r>
      <w:r w:rsidR="00BB1427" w:rsidRPr="00EB3F3E">
        <w:rPr>
          <w:rFonts w:ascii="Bookman Old Style" w:hAnsi="Bookman Old Style"/>
          <w:b/>
        </w:rPr>
        <w:t xml:space="preserve">omuni, </w:t>
      </w:r>
      <w:r w:rsidR="008741FA">
        <w:rPr>
          <w:rFonts w:ascii="Bookman Old Style" w:hAnsi="Bookman Old Style"/>
          <w:b/>
        </w:rPr>
        <w:t xml:space="preserve">500 milioni per </w:t>
      </w:r>
      <w:r w:rsidR="00BB1427" w:rsidRPr="00EB3F3E">
        <w:rPr>
          <w:rFonts w:ascii="Bookman Old Style" w:hAnsi="Bookman Old Style"/>
          <w:b/>
        </w:rPr>
        <w:t>province e città metropolitane, entro il 10 luglio 2020</w:t>
      </w:r>
      <w:r w:rsidR="00BB1427" w:rsidRPr="002F7CDC">
        <w:rPr>
          <w:rFonts w:ascii="Bookman Old Style" w:hAnsi="Bookman Old Style"/>
        </w:rPr>
        <w:t xml:space="preserve"> </w:t>
      </w:r>
      <w:r w:rsidR="00BB1427" w:rsidRPr="0033559B">
        <w:rPr>
          <w:rFonts w:ascii="Bookman Old Style" w:hAnsi="Bookman Old Style"/>
          <w:b/>
        </w:rPr>
        <w:t xml:space="preserve">con </w:t>
      </w:r>
      <w:r w:rsidR="00EB3F3E" w:rsidRPr="0033559B">
        <w:rPr>
          <w:rFonts w:ascii="Bookman Old Style" w:hAnsi="Bookman Old Style"/>
          <w:b/>
        </w:rPr>
        <w:t>D.M I</w:t>
      </w:r>
      <w:r w:rsidR="00BB1427" w:rsidRPr="0033559B">
        <w:rPr>
          <w:rFonts w:ascii="Bookman Old Style" w:hAnsi="Bookman Old Style"/>
          <w:b/>
        </w:rPr>
        <w:t>nterno di concerto con</w:t>
      </w:r>
      <w:r w:rsidR="00EB3F3E" w:rsidRPr="0033559B">
        <w:rPr>
          <w:rFonts w:ascii="Bookman Old Style" w:hAnsi="Bookman Old Style"/>
          <w:b/>
        </w:rPr>
        <w:t xml:space="preserve"> il MEF</w:t>
      </w:r>
      <w:r w:rsidR="00BB1427" w:rsidRPr="002F7CDC">
        <w:rPr>
          <w:rFonts w:ascii="Bookman Old Style" w:hAnsi="Bookman Old Style"/>
        </w:rPr>
        <w:t xml:space="preserve"> sulla base della perdita di gettito e dei fabbisogni per le funzioni fondamentali </w:t>
      </w:r>
      <w:r w:rsidR="00BB1427" w:rsidRPr="00EB3F3E">
        <w:rPr>
          <w:rFonts w:ascii="Bookman Old Style" w:hAnsi="Bookman Old Style"/>
          <w:b/>
        </w:rPr>
        <w:t xml:space="preserve">valutati dal tavolo </w:t>
      </w:r>
      <w:r w:rsidR="00EB3F3E" w:rsidRPr="00EB3F3E">
        <w:rPr>
          <w:rFonts w:ascii="Bookman Old Style" w:hAnsi="Bookman Old Style"/>
          <w:b/>
        </w:rPr>
        <w:t>tecnico</w:t>
      </w:r>
      <w:r w:rsidR="00EB3F3E" w:rsidRPr="002F7CDC">
        <w:rPr>
          <w:rFonts w:ascii="Bookman Old Style" w:hAnsi="Bookman Old Style"/>
        </w:rPr>
        <w:t xml:space="preserve"> </w:t>
      </w:r>
      <w:r w:rsidR="00AA6B2C">
        <w:rPr>
          <w:rFonts w:ascii="Bookman Old Style" w:hAnsi="Bookman Old Style"/>
          <w:b/>
        </w:rPr>
        <w:t>di monitoraggio</w:t>
      </w:r>
      <w:r w:rsidR="00A4613A">
        <w:rPr>
          <w:rFonts w:ascii="Bookman Old Style" w:hAnsi="Bookman Old Style"/>
          <w:b/>
        </w:rPr>
        <w:t xml:space="preserve"> </w:t>
      </w:r>
      <w:r w:rsidR="0033559B" w:rsidRPr="0033559B">
        <w:rPr>
          <w:rFonts w:ascii="Bookman Old Style" w:hAnsi="Bookman Old Style"/>
          <w:b/>
        </w:rPr>
        <w:t>che ha il compito monitorare gli effetti dell’emergenza Covid-19 con riferimento alla tenuta delle entrate dei comuni, delle province e delle città metropolitane, ivi incluse le entrate dei servizi pubblici locali, rispetto ai fabbisogni di spesa</w:t>
      </w:r>
      <w:r w:rsidR="0033559B">
        <w:rPr>
          <w:rFonts w:ascii="Bookman Old Style" w:hAnsi="Bookman Old Style"/>
        </w:rPr>
        <w:t>.</w:t>
      </w:r>
    </w:p>
    <w:p w:rsidR="00A4613A" w:rsidRDefault="00A4613A" w:rsidP="00EB3F3E">
      <w:pPr>
        <w:jc w:val="both"/>
        <w:rPr>
          <w:rFonts w:ascii="Bookman Old Style" w:hAnsi="Bookman Old Style"/>
        </w:rPr>
      </w:pPr>
      <w:r>
        <w:rPr>
          <w:rFonts w:ascii="Bookman Old Style" w:hAnsi="Bookman Old Style"/>
        </w:rPr>
        <w:t xml:space="preserve">Il tavolo sarà </w:t>
      </w:r>
      <w:r w:rsidRPr="00A4613A">
        <w:rPr>
          <w:rFonts w:ascii="Bookman Old Style" w:hAnsi="Bookman Old Style"/>
        </w:rPr>
        <w:t>p</w:t>
      </w:r>
      <w:r w:rsidRPr="002F7CDC">
        <w:rPr>
          <w:rFonts w:ascii="Bookman Old Style" w:hAnsi="Bookman Old Style"/>
        </w:rPr>
        <w:t>resieduto dal Ragioniere generale dello Stato o da un suo delegato</w:t>
      </w:r>
      <w:r>
        <w:rPr>
          <w:rFonts w:ascii="Bookman Old Style" w:hAnsi="Bookman Old Style"/>
        </w:rPr>
        <w:t xml:space="preserve"> e</w:t>
      </w:r>
      <w:r w:rsidRPr="002F7CDC">
        <w:rPr>
          <w:rFonts w:ascii="Bookman Old Style" w:hAnsi="Bookman Old Style"/>
        </w:rPr>
        <w:t xml:space="preserve"> composto da due rappresentanti del </w:t>
      </w:r>
      <w:r>
        <w:rPr>
          <w:rFonts w:ascii="Bookman Old Style" w:hAnsi="Bookman Old Style"/>
        </w:rPr>
        <w:t>MEF</w:t>
      </w:r>
      <w:r w:rsidRPr="002F7CDC">
        <w:rPr>
          <w:rFonts w:ascii="Bookman Old Style" w:hAnsi="Bookman Old Style"/>
        </w:rPr>
        <w:t>, due rappresentanti del Ministero dell’interno, due rappresentanti dell’ANCI, di cui uno per le città metropolitane, un rappresentante dell’UPI e dal Presidente della Commissione tecnica per i fabbisogni standard</w:t>
      </w:r>
      <w:r>
        <w:rPr>
          <w:rFonts w:ascii="Bookman Old Style" w:hAnsi="Bookman Old Style"/>
        </w:rPr>
        <w:t>.</w:t>
      </w:r>
    </w:p>
    <w:p w:rsidR="00AA6B2C" w:rsidRPr="00AA6B2C" w:rsidRDefault="00AA6B2C" w:rsidP="00AA6B2C">
      <w:pPr>
        <w:jc w:val="both"/>
        <w:rPr>
          <w:rFonts w:ascii="Bookman Old Style" w:hAnsi="Bookman Old Style" w:cs="Segoe UI"/>
          <w:shd w:val="clear" w:color="auto" w:fill="FFFFFF"/>
        </w:rPr>
      </w:pPr>
      <w:r w:rsidRPr="00AA6B2C">
        <w:rPr>
          <w:rFonts w:ascii="Bookman Old Style" w:hAnsi="Bookman Old Style" w:cs="Segoe UI"/>
          <w:b/>
          <w:shd w:val="clear" w:color="auto" w:fill="FFFFFF"/>
        </w:rPr>
        <w:t>Un acconto, pari al 30% sarà erogato in tempi in modo da offrire alle amministrazioni in grande crisi di cassa, la liquidità necessaria a garantire le risorse per i servizi</w:t>
      </w:r>
      <w:r w:rsidRPr="00AA6B2C">
        <w:rPr>
          <w:rFonts w:ascii="Bookman Old Style" w:hAnsi="Bookman Old Style" w:cs="Segoe UI"/>
          <w:shd w:val="clear" w:color="auto" w:fill="FFFFFF"/>
        </w:rPr>
        <w:t>.</w:t>
      </w:r>
    </w:p>
    <w:p w:rsidR="00AA6B2C" w:rsidRPr="00AA6B2C" w:rsidRDefault="00AA6B2C" w:rsidP="00AA6B2C">
      <w:pPr>
        <w:jc w:val="both"/>
        <w:rPr>
          <w:rFonts w:ascii="Bookman Old Style" w:hAnsi="Bookman Old Style" w:cs="Segoe UI"/>
          <w:shd w:val="clear" w:color="auto" w:fill="FFFFFF"/>
        </w:rPr>
      </w:pPr>
      <w:r w:rsidRPr="00AA6B2C">
        <w:rPr>
          <w:rFonts w:ascii="Bookman Old Style" w:hAnsi="Bookman Old Style" w:cs="Segoe UI"/>
          <w:shd w:val="clear" w:color="auto" w:fill="FFFFFF"/>
        </w:rPr>
        <w:t xml:space="preserve">L' acconto sarà parametrato alle entrate di cui ai titoli I e III del bilancio, come risultanti dal Siope al 31 dicembre 2019. L' accordo </w:t>
      </w:r>
      <w:r w:rsidRPr="004B4C71">
        <w:rPr>
          <w:rFonts w:ascii="Bookman Old Style" w:hAnsi="Bookman Old Style" w:cs="Segoe UI"/>
          <w:shd w:val="clear" w:color="auto" w:fill="FFFFFF"/>
        </w:rPr>
        <w:t xml:space="preserve">tra </w:t>
      </w:r>
      <w:r w:rsidR="004B4C71">
        <w:rPr>
          <w:rFonts w:ascii="Bookman Old Style" w:hAnsi="Bookman Old Style" w:cs="Segoe UI"/>
          <w:shd w:val="clear" w:color="auto" w:fill="FFFFFF"/>
        </w:rPr>
        <w:t xml:space="preserve">Anci, </w:t>
      </w:r>
      <w:r w:rsidRPr="004B4C71">
        <w:rPr>
          <w:rFonts w:ascii="Bookman Old Style" w:hAnsi="Bookman Old Style" w:cs="Segoe UI"/>
          <w:shd w:val="clear" w:color="auto" w:fill="FFFFFF"/>
        </w:rPr>
        <w:t>Upi e</w:t>
      </w:r>
      <w:r>
        <w:rPr>
          <w:rFonts w:ascii="Bookman Old Style" w:hAnsi="Bookman Old Style" w:cs="Segoe UI"/>
          <w:shd w:val="clear" w:color="auto" w:fill="FFFFFF"/>
        </w:rPr>
        <w:t xml:space="preserve"> G</w:t>
      </w:r>
      <w:r w:rsidRPr="00AA6B2C">
        <w:rPr>
          <w:rFonts w:ascii="Bookman Old Style" w:hAnsi="Bookman Old Style" w:cs="Segoe UI"/>
          <w:shd w:val="clear" w:color="auto" w:fill="FFFFFF"/>
        </w:rPr>
        <w:t>overno, trasposto nella norma del dl Rilancio prevede poi un meccanismo di verifica conclusiva delle spettanze entro il 30 giugno 2021 con eventuale conguaglio delle somme in origine attribuite.</w:t>
      </w:r>
    </w:p>
    <w:p w:rsidR="00AA6B2C" w:rsidRDefault="00AA6B2C" w:rsidP="00EB3F3E">
      <w:pPr>
        <w:jc w:val="both"/>
        <w:rPr>
          <w:rFonts w:ascii="Bookman Old Style" w:hAnsi="Bookman Old Style"/>
        </w:rPr>
      </w:pPr>
    </w:p>
    <w:p w:rsidR="00BB1427" w:rsidRPr="006E7360" w:rsidRDefault="00BB1427" w:rsidP="006E7360">
      <w:pPr>
        <w:pStyle w:val="Paragrafoelenco"/>
        <w:numPr>
          <w:ilvl w:val="0"/>
          <w:numId w:val="1"/>
        </w:numPr>
        <w:jc w:val="both"/>
        <w:rPr>
          <w:rFonts w:ascii="Bookman Old Style" w:hAnsi="Bookman Old Style"/>
          <w:b/>
        </w:rPr>
      </w:pPr>
      <w:r w:rsidRPr="006E7360">
        <w:rPr>
          <w:rFonts w:ascii="Bookman Old Style" w:hAnsi="Bookman Old Style"/>
          <w:b/>
        </w:rPr>
        <w:t xml:space="preserve">Anticipazione risorse </w:t>
      </w:r>
      <w:r w:rsidR="001C3751">
        <w:rPr>
          <w:rFonts w:ascii="Bookman Old Style" w:hAnsi="Bookman Old Style"/>
          <w:b/>
        </w:rPr>
        <w:t>per</w:t>
      </w:r>
      <w:r w:rsidRPr="006E7360">
        <w:rPr>
          <w:rFonts w:ascii="Bookman Old Style" w:hAnsi="Bookman Old Style"/>
          <w:b/>
        </w:rPr>
        <w:t xml:space="preserve"> province e città metropolitane</w:t>
      </w:r>
      <w:r w:rsidR="009D7102" w:rsidRPr="006E7360">
        <w:rPr>
          <w:rFonts w:ascii="Bookman Old Style" w:hAnsi="Bookman Old Style"/>
          <w:b/>
        </w:rPr>
        <w:t xml:space="preserve"> (Art.115)</w:t>
      </w:r>
    </w:p>
    <w:p w:rsidR="001A4BFC" w:rsidRPr="001A4BFC" w:rsidRDefault="009D7102" w:rsidP="001A4BFC">
      <w:pPr>
        <w:jc w:val="both"/>
        <w:rPr>
          <w:rFonts w:ascii="Bookman Old Style" w:hAnsi="Bookman Old Style"/>
        </w:rPr>
      </w:pPr>
      <w:r>
        <w:rPr>
          <w:rFonts w:ascii="Bookman Old Style" w:hAnsi="Bookman Old Style"/>
        </w:rPr>
        <w:t>Viene anticipata</w:t>
      </w:r>
      <w:r w:rsidR="00BB1427" w:rsidRPr="001A4BFC">
        <w:rPr>
          <w:rFonts w:ascii="Bookman Old Style" w:hAnsi="Bookman Old Style"/>
        </w:rPr>
        <w:t xml:space="preserve"> l’erogazione del fondo sperimentale di riequilibrio</w:t>
      </w:r>
      <w:r w:rsidR="001A4BFC">
        <w:rPr>
          <w:rFonts w:ascii="Bookman Old Style" w:hAnsi="Bookman Old Style"/>
        </w:rPr>
        <w:t xml:space="preserve"> (58 milioni)</w:t>
      </w:r>
      <w:r w:rsidR="00BB1427" w:rsidRPr="001A4BFC">
        <w:rPr>
          <w:rFonts w:ascii="Bookman Old Style" w:hAnsi="Bookman Old Style"/>
        </w:rPr>
        <w:t xml:space="preserve"> per le province e le città metropolitane per l’anno 2020. </w:t>
      </w:r>
    </w:p>
    <w:p w:rsidR="008240BC" w:rsidRDefault="008240BC" w:rsidP="00544E1F">
      <w:pPr>
        <w:jc w:val="both"/>
        <w:rPr>
          <w:rFonts w:ascii="Bookman Old Style" w:hAnsi="Bookman Old Style"/>
        </w:rPr>
      </w:pPr>
    </w:p>
    <w:p w:rsidR="002F7CDC" w:rsidRPr="006E7360" w:rsidRDefault="002F7CDC" w:rsidP="006E7360">
      <w:pPr>
        <w:pStyle w:val="Paragrafoelenco"/>
        <w:numPr>
          <w:ilvl w:val="0"/>
          <w:numId w:val="1"/>
        </w:numPr>
        <w:rPr>
          <w:rFonts w:ascii="Bookman Old Style" w:hAnsi="Bookman Old Style"/>
          <w:b/>
        </w:rPr>
      </w:pPr>
      <w:r w:rsidRPr="006E7360">
        <w:rPr>
          <w:rFonts w:ascii="Bookman Old Style" w:hAnsi="Bookman Old Style"/>
          <w:b/>
        </w:rPr>
        <w:t xml:space="preserve">Rinvio termini bilancio consolidato </w:t>
      </w:r>
      <w:r w:rsidR="009D7102" w:rsidRPr="006E7360">
        <w:rPr>
          <w:rFonts w:ascii="Bookman Old Style" w:hAnsi="Bookman Old Style"/>
          <w:b/>
        </w:rPr>
        <w:t>(Art.117)</w:t>
      </w:r>
    </w:p>
    <w:p w:rsidR="002F7CDC" w:rsidRDefault="009D7102" w:rsidP="00175D61">
      <w:pPr>
        <w:jc w:val="both"/>
        <w:rPr>
          <w:rFonts w:ascii="Bookman Old Style" w:hAnsi="Bookman Old Style"/>
        </w:rPr>
      </w:pPr>
      <w:r>
        <w:rPr>
          <w:rFonts w:ascii="Bookman Old Style" w:hAnsi="Bookman Old Style"/>
        </w:rPr>
        <w:lastRenderedPageBreak/>
        <w:t xml:space="preserve">Viene differito </w:t>
      </w:r>
      <w:r w:rsidR="002F7CDC" w:rsidRPr="002F7CDC">
        <w:rPr>
          <w:rFonts w:ascii="Bookman Old Style" w:hAnsi="Bookman Old Style"/>
        </w:rPr>
        <w:t xml:space="preserve">dal 30 settembre </w:t>
      </w:r>
      <w:r w:rsidR="002F7CDC" w:rsidRPr="00175D61">
        <w:rPr>
          <w:rFonts w:ascii="Bookman Old Style" w:hAnsi="Bookman Old Style"/>
          <w:b/>
        </w:rPr>
        <w:t>al 30 novembre 2020 il termine per l’approvazione del bilancio consolidato</w:t>
      </w:r>
      <w:r w:rsidR="002F7CDC" w:rsidRPr="002F7CDC">
        <w:rPr>
          <w:rFonts w:ascii="Bookman Old Style" w:hAnsi="Bookman Old Style"/>
        </w:rPr>
        <w:t xml:space="preserve"> </w:t>
      </w:r>
      <w:r w:rsidR="000F0B3C" w:rsidRPr="000F0B3C">
        <w:rPr>
          <w:rFonts w:ascii="Bookman Old Style" w:hAnsi="Bookman Old Style"/>
          <w:b/>
        </w:rPr>
        <w:t>2019</w:t>
      </w:r>
      <w:r w:rsidR="000F0B3C">
        <w:rPr>
          <w:rFonts w:ascii="Bookman Old Style" w:hAnsi="Bookman Old Style"/>
        </w:rPr>
        <w:t xml:space="preserve"> </w:t>
      </w:r>
      <w:r w:rsidR="002F7CDC" w:rsidRPr="002F7CDC">
        <w:rPr>
          <w:rFonts w:ascii="Bookman Old Style" w:hAnsi="Bookman Old Style"/>
        </w:rPr>
        <w:t>da parte degli enti di cui all’articolo 1 del decreto legislativo n. 118/2011.</w:t>
      </w:r>
    </w:p>
    <w:p w:rsidR="001C3751" w:rsidRDefault="001C3751" w:rsidP="00175D61">
      <w:pPr>
        <w:jc w:val="both"/>
        <w:rPr>
          <w:rFonts w:ascii="Bookman Old Style" w:hAnsi="Bookman Old Style"/>
        </w:rPr>
      </w:pPr>
    </w:p>
    <w:p w:rsidR="002F7CDC" w:rsidRPr="006E7360" w:rsidRDefault="002F7CDC" w:rsidP="006E7360">
      <w:pPr>
        <w:pStyle w:val="Paragrafoelenco"/>
        <w:numPr>
          <w:ilvl w:val="0"/>
          <w:numId w:val="1"/>
        </w:numPr>
        <w:jc w:val="both"/>
        <w:rPr>
          <w:rFonts w:ascii="Bookman Old Style" w:hAnsi="Bookman Old Style"/>
          <w:b/>
        </w:rPr>
      </w:pPr>
      <w:r w:rsidRPr="006E7360">
        <w:rPr>
          <w:rFonts w:ascii="Bookman Old Style" w:hAnsi="Bookman Old Style"/>
          <w:b/>
        </w:rPr>
        <w:t xml:space="preserve">Fondo comuni </w:t>
      </w:r>
      <w:r w:rsidR="001C3751">
        <w:rPr>
          <w:rFonts w:ascii="Bookman Old Style" w:hAnsi="Bookman Old Style"/>
          <w:b/>
        </w:rPr>
        <w:t>zona rossa</w:t>
      </w:r>
      <w:r w:rsidR="009D7102" w:rsidRPr="006E7360">
        <w:rPr>
          <w:rFonts w:ascii="Bookman Old Style" w:hAnsi="Bookman Old Style"/>
          <w:b/>
        </w:rPr>
        <w:t xml:space="preserve"> (Art.121)</w:t>
      </w:r>
    </w:p>
    <w:p w:rsidR="00496808" w:rsidRPr="00496808" w:rsidRDefault="009D7102" w:rsidP="002F7CDC">
      <w:pPr>
        <w:jc w:val="both"/>
        <w:rPr>
          <w:rFonts w:ascii="Bookman Old Style" w:hAnsi="Bookman Old Style"/>
        </w:rPr>
      </w:pPr>
      <w:r>
        <w:rPr>
          <w:rFonts w:ascii="Bookman Old Style" w:hAnsi="Bookman Old Style"/>
        </w:rPr>
        <w:t>Viene istituito</w:t>
      </w:r>
      <w:r w:rsidR="002F7CDC" w:rsidRPr="00496808">
        <w:rPr>
          <w:rFonts w:ascii="Bookman Old Style" w:hAnsi="Bookman Old Style"/>
        </w:rPr>
        <w:t xml:space="preserve"> presso il </w:t>
      </w:r>
      <w:r w:rsidR="002F7CDC" w:rsidRPr="00496808">
        <w:rPr>
          <w:rFonts w:ascii="Bookman Old Style" w:hAnsi="Bookman Old Style"/>
          <w:b/>
        </w:rPr>
        <w:t xml:space="preserve">Ministero dell’interno di un fondo di 200 milioni di euro per l’anno 2020 </w:t>
      </w:r>
      <w:r w:rsidR="002F7CDC" w:rsidRPr="00496808">
        <w:rPr>
          <w:rFonts w:ascii="Bookman Old Style" w:hAnsi="Bookman Old Style"/>
        </w:rPr>
        <w:t xml:space="preserve">da assegnare ai comuni ricadenti </w:t>
      </w:r>
      <w:r w:rsidR="00496808" w:rsidRPr="00496808">
        <w:rPr>
          <w:rFonts w:ascii="Bookman Old Style" w:hAnsi="Bookman Old Style"/>
        </w:rPr>
        <w:t xml:space="preserve">nella </w:t>
      </w:r>
      <w:r w:rsidR="00496808" w:rsidRPr="00662B21">
        <w:rPr>
          <w:rFonts w:ascii="Bookman Old Style" w:hAnsi="Bookman Old Style"/>
          <w:b/>
        </w:rPr>
        <w:t>zona rossa</w:t>
      </w:r>
      <w:r w:rsidR="00496808" w:rsidRPr="00496808">
        <w:rPr>
          <w:rFonts w:ascii="Bookman Old Style" w:hAnsi="Bookman Old Style" w:cs="Segoe UI"/>
          <w:shd w:val="clear" w:color="auto" w:fill="FFFFFF"/>
        </w:rPr>
        <w:t xml:space="preserve"> ossia quelli che ricadono nelle province di Bergamo, Brescia, Cremona, Lodi e Piacenza. I fondi saranno ripartiti sulla base della popolazione residente entro 10 giorni dall' entrata in vigore del decreto.</w:t>
      </w:r>
      <w:r w:rsidR="00496808" w:rsidRPr="00496808">
        <w:rPr>
          <w:rFonts w:ascii="Bookman Old Style" w:hAnsi="Bookman Old Style" w:cs="Segoe UI"/>
        </w:rPr>
        <w:br/>
      </w:r>
      <w:r w:rsidR="00496808" w:rsidRPr="00496808">
        <w:rPr>
          <w:rFonts w:ascii="Bookman Old Style" w:hAnsi="Bookman Old Style" w:cs="Segoe UI"/>
          <w:color w:val="4F4F4F"/>
        </w:rPr>
        <w:br/>
      </w:r>
    </w:p>
    <w:p w:rsidR="002F7CDC" w:rsidRPr="006E7360" w:rsidRDefault="002F7CDC" w:rsidP="006E7360">
      <w:pPr>
        <w:pStyle w:val="Paragrafoelenco"/>
        <w:numPr>
          <w:ilvl w:val="0"/>
          <w:numId w:val="1"/>
        </w:numPr>
        <w:jc w:val="both"/>
        <w:rPr>
          <w:rFonts w:ascii="Bookman Old Style" w:hAnsi="Bookman Old Style"/>
          <w:b/>
        </w:rPr>
      </w:pPr>
      <w:r w:rsidRPr="006E7360">
        <w:rPr>
          <w:rFonts w:ascii="Bookman Old Style" w:hAnsi="Bookman Old Style"/>
          <w:b/>
        </w:rPr>
        <w:t>Ri</w:t>
      </w:r>
      <w:r w:rsidR="001C3751">
        <w:rPr>
          <w:rFonts w:ascii="Bookman Old Style" w:hAnsi="Bookman Old Style"/>
          <w:b/>
        </w:rPr>
        <w:t xml:space="preserve">negoziazione mutui enti locali </w:t>
      </w:r>
      <w:r w:rsidR="009D7102" w:rsidRPr="006E7360">
        <w:rPr>
          <w:rFonts w:ascii="Bookman Old Style" w:hAnsi="Bookman Old Style"/>
          <w:b/>
        </w:rPr>
        <w:t>(Art.122)</w:t>
      </w:r>
    </w:p>
    <w:p w:rsidR="00662B21" w:rsidRDefault="009D7102" w:rsidP="00662B21">
      <w:pPr>
        <w:jc w:val="both"/>
        <w:rPr>
          <w:rFonts w:ascii="Bookman Old Style" w:hAnsi="Bookman Old Style" w:cs="Segoe UI"/>
          <w:shd w:val="clear" w:color="auto" w:fill="FFFFFF"/>
        </w:rPr>
      </w:pPr>
      <w:r>
        <w:rPr>
          <w:rFonts w:ascii="Bookman Old Style" w:hAnsi="Bookman Old Style"/>
        </w:rPr>
        <w:t>Viene introdotta una</w:t>
      </w:r>
      <w:r w:rsidR="00662B21" w:rsidRPr="00067AF2">
        <w:rPr>
          <w:rFonts w:ascii="Bookman Old Style" w:hAnsi="Bookman Old Style" w:cs="Segoe UI"/>
          <w:b/>
          <w:shd w:val="clear" w:color="auto" w:fill="FFFFFF"/>
        </w:rPr>
        <w:t xml:space="preserve"> semplificazione in materia di rinegoziazione dei mutui</w:t>
      </w:r>
      <w:r w:rsidR="00662B21" w:rsidRPr="0012733A">
        <w:rPr>
          <w:rFonts w:ascii="Bookman Old Style" w:hAnsi="Bookman Old Style" w:cs="Segoe UI"/>
          <w:shd w:val="clear" w:color="auto" w:fill="FFFFFF"/>
        </w:rPr>
        <w:t xml:space="preserve"> </w:t>
      </w:r>
      <w:r w:rsidR="008741FA">
        <w:rPr>
          <w:rFonts w:ascii="Bookman Old Style" w:hAnsi="Bookman Old Style" w:cs="Segoe UI"/>
          <w:shd w:val="clear" w:color="auto" w:fill="FFFFFF"/>
        </w:rPr>
        <w:t xml:space="preserve">( sospensione quota capitale) </w:t>
      </w:r>
      <w:r w:rsidR="00662B21" w:rsidRPr="0012733A">
        <w:rPr>
          <w:rFonts w:ascii="Bookman Old Style" w:hAnsi="Bookman Old Style" w:cs="Segoe UI"/>
          <w:shd w:val="clear" w:color="auto" w:fill="FFFFFF"/>
        </w:rPr>
        <w:t>contratti dai comuni con banche, intermediari finanziari e Cassa depositi e prestiti</w:t>
      </w:r>
      <w:r w:rsidR="0012733A" w:rsidRPr="0012733A">
        <w:rPr>
          <w:rFonts w:ascii="Bookman Old Style" w:hAnsi="Bookman Old Style" w:cs="Segoe UI"/>
          <w:shd w:val="clear" w:color="auto" w:fill="FFFFFF"/>
        </w:rPr>
        <w:t>.</w:t>
      </w:r>
      <w:r w:rsidR="0012733A">
        <w:rPr>
          <w:rFonts w:ascii="Bookman Old Style" w:hAnsi="Bookman Old Style" w:cs="Segoe UI"/>
          <w:shd w:val="clear" w:color="auto" w:fill="FFFFFF"/>
        </w:rPr>
        <w:t xml:space="preserve"> </w:t>
      </w:r>
      <w:r w:rsidR="00662B21" w:rsidRPr="0012733A">
        <w:rPr>
          <w:rFonts w:ascii="Bookman Old Style" w:hAnsi="Bookman Old Style" w:cs="Segoe UI"/>
          <w:shd w:val="clear" w:color="auto" w:fill="FFFFFF"/>
        </w:rPr>
        <w:t xml:space="preserve">In caso di esercizio provvisorio (qualora gli enti non abbiano ancora approvato il bilancio di previsione slittato al 31 luglio a causa dell'emergenza Covid) </w:t>
      </w:r>
      <w:r w:rsidR="00662B21" w:rsidRPr="00067AF2">
        <w:rPr>
          <w:rFonts w:ascii="Bookman Old Style" w:hAnsi="Bookman Old Style" w:cs="Segoe UI"/>
          <w:b/>
          <w:shd w:val="clear" w:color="auto" w:fill="FFFFFF"/>
        </w:rPr>
        <w:t xml:space="preserve">gli enti potranno aderire all' operazione con la semplice delibera </w:t>
      </w:r>
      <w:r w:rsidR="0012733A" w:rsidRPr="00067AF2">
        <w:rPr>
          <w:rFonts w:ascii="Bookman Old Style" w:hAnsi="Bookman Old Style" w:cs="Segoe UI"/>
          <w:b/>
          <w:shd w:val="clear" w:color="auto" w:fill="FFFFFF"/>
        </w:rPr>
        <w:t>di giunta</w:t>
      </w:r>
      <w:r w:rsidR="00662B21" w:rsidRPr="0012733A">
        <w:rPr>
          <w:rFonts w:ascii="Bookman Old Style" w:hAnsi="Bookman Old Style" w:cs="Segoe UI"/>
          <w:shd w:val="clear" w:color="auto" w:fill="FFFFFF"/>
        </w:rPr>
        <w:t>, fermo restando l'obbligo di provvedere alle relative iscrizioni nel bilancio di previsione.</w:t>
      </w:r>
      <w:r w:rsidR="0012733A" w:rsidRPr="0012733A">
        <w:rPr>
          <w:rFonts w:ascii="Bookman Old Style" w:hAnsi="Bookman Old Style" w:cs="Segoe UI"/>
          <w:shd w:val="clear" w:color="auto" w:fill="FFFFFF"/>
        </w:rPr>
        <w:t xml:space="preserve"> </w:t>
      </w:r>
      <w:r w:rsidR="00662B21" w:rsidRPr="0012733A">
        <w:rPr>
          <w:rFonts w:ascii="Bookman Old Style" w:hAnsi="Bookman Old Style" w:cs="Segoe UI"/>
          <w:shd w:val="clear" w:color="auto" w:fill="FFFFFF"/>
        </w:rPr>
        <w:t>Non servirà quindi convocare il consiglio comunale.</w:t>
      </w:r>
    </w:p>
    <w:p w:rsidR="008741FA" w:rsidRDefault="008741FA" w:rsidP="00662B21">
      <w:pPr>
        <w:jc w:val="both"/>
        <w:rPr>
          <w:rFonts w:ascii="Bookman Old Style" w:hAnsi="Bookman Old Style" w:cs="Segoe UI"/>
          <w:shd w:val="clear" w:color="auto" w:fill="FFFFFF"/>
        </w:rPr>
      </w:pPr>
      <w:r>
        <w:rPr>
          <w:rFonts w:ascii="Bookman Old Style" w:hAnsi="Bookman Old Style" w:cs="Segoe UI"/>
          <w:shd w:val="clear" w:color="auto" w:fill="FFFFFF"/>
        </w:rPr>
        <w:t xml:space="preserve">E’ stata inserita anche la norma di deroga alla disciplina ordinaria alla negoziazione dei mutui necessaria per la rinegoziazione dei mutui bancari ( Accordo ABI Anci che altrimenti rischiava di non essere efficace).  </w:t>
      </w:r>
    </w:p>
    <w:p w:rsidR="0012733A" w:rsidRPr="0012733A" w:rsidRDefault="0012733A" w:rsidP="00662B21">
      <w:pPr>
        <w:jc w:val="both"/>
        <w:rPr>
          <w:rFonts w:ascii="Bookman Old Style" w:hAnsi="Bookman Old Style"/>
          <w:b/>
        </w:rPr>
      </w:pPr>
    </w:p>
    <w:p w:rsidR="002F7CDC" w:rsidRPr="006E7360" w:rsidRDefault="002F7CDC" w:rsidP="006E7360">
      <w:pPr>
        <w:pStyle w:val="Paragrafoelenco"/>
        <w:numPr>
          <w:ilvl w:val="0"/>
          <w:numId w:val="1"/>
        </w:numPr>
        <w:jc w:val="both"/>
        <w:rPr>
          <w:rFonts w:ascii="Bookman Old Style" w:hAnsi="Bookman Old Style"/>
          <w:b/>
        </w:rPr>
      </w:pPr>
      <w:r w:rsidRPr="006E7360">
        <w:rPr>
          <w:rFonts w:ascii="Bookman Old Style" w:hAnsi="Bookman Old Style"/>
          <w:b/>
        </w:rPr>
        <w:t xml:space="preserve">Differimento dei termini per interventi di messa in sicurezza di scuole, strade, edifici pubblici e patrimonio comunale e per l’abbattimento delle barriere architettoniche </w:t>
      </w:r>
      <w:r w:rsidR="009D7102" w:rsidRPr="006E7360">
        <w:rPr>
          <w:rFonts w:ascii="Bookman Old Style" w:hAnsi="Bookman Old Style"/>
          <w:b/>
        </w:rPr>
        <w:t>(Art.123)</w:t>
      </w:r>
    </w:p>
    <w:p w:rsidR="000613B5" w:rsidRPr="00C12918" w:rsidRDefault="00C12918" w:rsidP="000613B5">
      <w:pPr>
        <w:jc w:val="both"/>
        <w:rPr>
          <w:rFonts w:ascii="Bookman Old Style" w:hAnsi="Bookman Old Style"/>
        </w:rPr>
      </w:pPr>
      <w:r>
        <w:rPr>
          <w:rFonts w:ascii="Bookman Old Style" w:hAnsi="Bookman Old Style"/>
        </w:rPr>
        <w:t>Vengono</w:t>
      </w:r>
      <w:r w:rsidR="002F7CDC" w:rsidRPr="002F7CDC">
        <w:rPr>
          <w:rFonts w:ascii="Bookman Old Style" w:hAnsi="Bookman Old Style"/>
        </w:rPr>
        <w:t xml:space="preserve"> proroga</w:t>
      </w:r>
      <w:r>
        <w:rPr>
          <w:rFonts w:ascii="Bookman Old Style" w:hAnsi="Bookman Old Style"/>
        </w:rPr>
        <w:t>ti</w:t>
      </w:r>
      <w:r w:rsidR="002F7CDC" w:rsidRPr="002F7CDC">
        <w:rPr>
          <w:rFonts w:ascii="Bookman Old Style" w:hAnsi="Bookman Old Style"/>
        </w:rPr>
        <w:t xml:space="preserve">, per l’anno 2020, </w:t>
      </w:r>
      <w:r>
        <w:rPr>
          <w:rFonts w:ascii="Bookman Old Style" w:hAnsi="Bookman Old Style"/>
        </w:rPr>
        <w:t>alcuni</w:t>
      </w:r>
      <w:r w:rsidR="002F7CDC" w:rsidRPr="002F7CDC">
        <w:rPr>
          <w:rFonts w:ascii="Bookman Old Style" w:hAnsi="Bookman Old Style"/>
        </w:rPr>
        <w:t xml:space="preserve"> termini per la stabilizzazion</w:t>
      </w:r>
      <w:r w:rsidR="00A43EFC">
        <w:rPr>
          <w:rFonts w:ascii="Bookman Old Style" w:hAnsi="Bookman Old Style"/>
        </w:rPr>
        <w:t>e dei contribuiti a favore dei C</w:t>
      </w:r>
      <w:r w:rsidR="002F7CDC" w:rsidRPr="002F7CDC">
        <w:rPr>
          <w:rFonts w:ascii="Bookman Old Style" w:hAnsi="Bookman Old Style"/>
        </w:rPr>
        <w:t xml:space="preserve">omuni per il </w:t>
      </w:r>
      <w:r w:rsidR="002F7CDC" w:rsidRPr="0057446B">
        <w:rPr>
          <w:rFonts w:ascii="Bookman Old Style" w:hAnsi="Bookman Old Style"/>
          <w:b/>
        </w:rPr>
        <w:t xml:space="preserve">potenziamento degli investimenti di messa in sicurezza di scuole, strade, edifici pubblici e patrimonio comunale e per l’abbattimento delle barriere architettoniche a beneficio della collettività. </w:t>
      </w:r>
      <w:r w:rsidRPr="00C12918">
        <w:rPr>
          <w:rFonts w:ascii="Bookman Old Style" w:hAnsi="Bookman Old Style"/>
        </w:rPr>
        <w:t>(art. 30, comma 14-ter del decreto-legge 30 aprile 2019, n. 34, convertito, con modificazioni, dalla legge 28 giugno 2019, n. 58)</w:t>
      </w:r>
    </w:p>
    <w:p w:rsidR="002F7CDC" w:rsidRPr="000613B5" w:rsidRDefault="00C12918" w:rsidP="000613B5">
      <w:pPr>
        <w:jc w:val="both"/>
        <w:rPr>
          <w:rFonts w:ascii="Bookman Old Style" w:hAnsi="Bookman Old Style"/>
          <w:b/>
        </w:rPr>
      </w:pPr>
      <w:r w:rsidRPr="00A4613A">
        <w:rPr>
          <w:rFonts w:ascii="Bookman Old Style" w:hAnsi="Bookman Old Style"/>
        </w:rPr>
        <w:t xml:space="preserve">In particolare si tratta, del </w:t>
      </w:r>
      <w:r>
        <w:rPr>
          <w:rFonts w:ascii="Bookman Old Style" w:hAnsi="Bookman Old Style"/>
          <w:b/>
        </w:rPr>
        <w:t xml:space="preserve">differimento per l’anno 2020 </w:t>
      </w:r>
      <w:r w:rsidR="002F7CDC" w:rsidRPr="000613B5">
        <w:rPr>
          <w:rFonts w:ascii="Bookman Old Style" w:hAnsi="Bookman Old Style"/>
          <w:b/>
        </w:rPr>
        <w:t xml:space="preserve">dei termini </w:t>
      </w:r>
      <w:r w:rsidR="002F7CDC" w:rsidRPr="00A4613A">
        <w:rPr>
          <w:rFonts w:ascii="Bookman Old Style" w:hAnsi="Bookman Old Style"/>
        </w:rPr>
        <w:t>indicati</w:t>
      </w:r>
      <w:r w:rsidR="002F7CDC" w:rsidRPr="000613B5">
        <w:rPr>
          <w:rFonts w:ascii="Bookman Old Style" w:hAnsi="Bookman Old Style"/>
          <w:b/>
        </w:rPr>
        <w:t xml:space="preserve"> per l’inizio dell’esecuzione dei lavori (dal 15 maggio al 15 luglio),</w:t>
      </w:r>
      <w:r w:rsidR="002F7CDC" w:rsidRPr="002F7CDC">
        <w:rPr>
          <w:rFonts w:ascii="Bookman Old Style" w:hAnsi="Bookman Old Style"/>
        </w:rPr>
        <w:t xml:space="preserve"> di </w:t>
      </w:r>
      <w:r w:rsidR="002F7CDC" w:rsidRPr="000613B5">
        <w:rPr>
          <w:rFonts w:ascii="Bookman Old Style" w:hAnsi="Bookman Old Style"/>
          <w:b/>
        </w:rPr>
        <w:t>quelli relativi all’adozione del decreto del Ministro dell’interno per la revoca in tutto o in parte dei contributi e loro assegnazione ad altri enti (dal 15 giugno al 30 agosto)</w:t>
      </w:r>
      <w:r w:rsidR="002F7CDC" w:rsidRPr="002F7CDC">
        <w:rPr>
          <w:rFonts w:ascii="Bookman Old Style" w:hAnsi="Bookman Old Style"/>
        </w:rPr>
        <w:t xml:space="preserve"> ed infine di </w:t>
      </w:r>
      <w:r w:rsidR="002F7CDC" w:rsidRPr="000613B5">
        <w:rPr>
          <w:rFonts w:ascii="Bookman Old Style" w:hAnsi="Bookman Old Style"/>
          <w:b/>
        </w:rPr>
        <w:t>quelli richiesti a tali ultimi beneficiari per l’avvio dei propri lavori (dal 15 ottobre al 15 novembre).</w:t>
      </w:r>
    </w:p>
    <w:p w:rsidR="002F7CDC" w:rsidRDefault="002F7CDC" w:rsidP="002F7CDC">
      <w:pPr>
        <w:jc w:val="center"/>
        <w:rPr>
          <w:rFonts w:ascii="Bookman Old Style" w:hAnsi="Bookman Old Style"/>
        </w:rPr>
      </w:pPr>
    </w:p>
    <w:p w:rsidR="002F7CDC" w:rsidRPr="000613B5" w:rsidRDefault="002F7CDC" w:rsidP="001C3751">
      <w:pPr>
        <w:pStyle w:val="Paragrafoelenco"/>
        <w:numPr>
          <w:ilvl w:val="0"/>
          <w:numId w:val="2"/>
        </w:numPr>
        <w:jc w:val="both"/>
        <w:rPr>
          <w:rFonts w:ascii="Bookman Old Style" w:hAnsi="Bookman Old Style"/>
          <w:b/>
        </w:rPr>
      </w:pPr>
      <w:r w:rsidRPr="000613B5">
        <w:rPr>
          <w:rFonts w:ascii="Bookman Old Style" w:hAnsi="Bookman Old Style"/>
          <w:b/>
        </w:rPr>
        <w:t>Fondo di liquidità per il pagamento dei debiti commerciali degli enti territoriali</w:t>
      </w:r>
      <w:r w:rsidR="006E7360" w:rsidRPr="006E7360">
        <w:rPr>
          <w:rFonts w:ascii="Bookman Old Style" w:hAnsi="Bookman Old Style"/>
          <w:b/>
        </w:rPr>
        <w:t xml:space="preserve"> </w:t>
      </w:r>
      <w:r w:rsidR="006E7360">
        <w:rPr>
          <w:rFonts w:ascii="Bookman Old Style" w:hAnsi="Bookman Old Style"/>
          <w:b/>
        </w:rPr>
        <w:t>(</w:t>
      </w:r>
      <w:r w:rsidR="006E7360" w:rsidRPr="000613B5">
        <w:rPr>
          <w:rFonts w:ascii="Bookman Old Style" w:hAnsi="Bookman Old Style"/>
          <w:b/>
        </w:rPr>
        <w:t>Art.124</w:t>
      </w:r>
      <w:r w:rsidR="006E7360">
        <w:rPr>
          <w:rFonts w:ascii="Bookman Old Style" w:hAnsi="Bookman Old Style"/>
          <w:b/>
        </w:rPr>
        <w:t>)</w:t>
      </w:r>
    </w:p>
    <w:p w:rsidR="0034723D" w:rsidRPr="0034723D" w:rsidRDefault="008741FA" w:rsidP="0034723D">
      <w:pPr>
        <w:jc w:val="both"/>
        <w:rPr>
          <w:rFonts w:ascii="Bookman Old Style" w:hAnsi="Bookman Old Style"/>
        </w:rPr>
      </w:pPr>
      <w:r>
        <w:rPr>
          <w:rFonts w:ascii="Bookman Old Style" w:hAnsi="Bookman Old Style"/>
        </w:rPr>
        <w:t xml:space="preserve">Trattasi di una norma utile ad aiutare in modo significativo e forse risolutivo della problematica del pagamento dei debiti commerciali e delle relative saz&lt;nioni a carico dei </w:t>
      </w:r>
      <w:r>
        <w:rPr>
          <w:rFonts w:ascii="Bookman Old Style" w:hAnsi="Bookman Old Style"/>
        </w:rPr>
        <w:lastRenderedPageBreak/>
        <w:t xml:space="preserve">Comuni e dello Stato Italiano. </w:t>
      </w:r>
      <w:r w:rsidR="00D12FE3">
        <w:rPr>
          <w:rFonts w:ascii="Bookman Old Style" w:hAnsi="Bookman Old Style"/>
        </w:rPr>
        <w:t>Viene istituito</w:t>
      </w:r>
      <w:r w:rsidR="0034723D" w:rsidRPr="0034723D">
        <w:rPr>
          <w:rFonts w:ascii="Bookman Old Style" w:hAnsi="Bookman Old Style"/>
        </w:rPr>
        <w:t xml:space="preserve"> </w:t>
      </w:r>
      <w:r>
        <w:rPr>
          <w:rFonts w:ascii="Bookman Old Style" w:hAnsi="Bookman Old Style"/>
        </w:rPr>
        <w:t xml:space="preserve">infatti </w:t>
      </w:r>
      <w:r w:rsidR="0034723D" w:rsidRPr="0034723D">
        <w:rPr>
          <w:rFonts w:ascii="Bookman Old Style" w:hAnsi="Bookman Old Style"/>
        </w:rPr>
        <w:t xml:space="preserve">nello stato di previsione del MEF un </w:t>
      </w:r>
      <w:r w:rsidR="0034723D" w:rsidRPr="0034723D">
        <w:rPr>
          <w:rFonts w:ascii="Bookman Old Style" w:hAnsi="Bookman Old Style"/>
          <w:b/>
        </w:rPr>
        <w:t>Fondo sblocca debiti</w:t>
      </w:r>
      <w:r w:rsidR="0034723D" w:rsidRPr="0034723D">
        <w:rPr>
          <w:rFonts w:ascii="Bookman Old Style" w:hAnsi="Bookman Old Style"/>
        </w:rPr>
        <w:t xml:space="preserve"> destinato a concedere anticipazioni a regioni, province autonome ed enti locali, che si trovino in uno stato di carenza di liquidità al fine di far fronte al pagamento dei propri debiti di carattere commerciale certi, liquidi ed esigibili.  </w:t>
      </w:r>
    </w:p>
    <w:p w:rsidR="0034723D" w:rsidRPr="0034723D" w:rsidRDefault="0034723D" w:rsidP="0034723D">
      <w:pPr>
        <w:jc w:val="both"/>
        <w:rPr>
          <w:rFonts w:ascii="Bookman Old Style" w:hAnsi="Bookman Old Style" w:cs="Segoe UI"/>
          <w:shd w:val="clear" w:color="auto" w:fill="FFFFFF"/>
        </w:rPr>
      </w:pPr>
      <w:r w:rsidRPr="0034723D">
        <w:rPr>
          <w:rFonts w:ascii="Bookman Old Style" w:hAnsi="Bookman Old Style" w:cs="Segoe UI"/>
          <w:shd w:val="clear" w:color="auto" w:fill="FFFFFF"/>
        </w:rPr>
        <w:t>Lo sblocca debiti 2020 potrà contare su una dotazione di 12 miliardi per il 2020 e sarà articolato in due sezioni.</w:t>
      </w:r>
    </w:p>
    <w:p w:rsidR="0034723D" w:rsidRPr="0034723D" w:rsidRDefault="0034723D" w:rsidP="0034723D">
      <w:pPr>
        <w:jc w:val="both"/>
        <w:rPr>
          <w:rFonts w:ascii="Bookman Old Style" w:hAnsi="Bookman Old Style" w:cs="Segoe UI"/>
          <w:shd w:val="clear" w:color="auto" w:fill="FFFFFF"/>
        </w:rPr>
      </w:pPr>
      <w:r w:rsidRPr="0034723D">
        <w:rPr>
          <w:rFonts w:ascii="Bookman Old Style" w:hAnsi="Bookman Old Style" w:cs="Segoe UI"/>
          <w:shd w:val="clear" w:color="auto" w:fill="FFFFFF"/>
        </w:rPr>
        <w:t xml:space="preserve">La prima, con una dotazione di 8 miliardi, sarà destinata al pagamento dei debiti diversi da quelli finanziari e sanitari. Di questi 8 miliardi, </w:t>
      </w:r>
      <w:r w:rsidRPr="0034723D">
        <w:rPr>
          <w:rFonts w:ascii="Bookman Old Style" w:hAnsi="Bookman Old Style" w:cs="Segoe UI"/>
          <w:b/>
          <w:shd w:val="clear" w:color="auto" w:fill="FFFFFF"/>
        </w:rPr>
        <w:t>6,5 saranno destinati agli enti locali</w:t>
      </w:r>
      <w:r w:rsidRPr="0034723D">
        <w:rPr>
          <w:rFonts w:ascii="Bookman Old Style" w:hAnsi="Bookman Old Style" w:cs="Segoe UI"/>
          <w:shd w:val="clear" w:color="auto" w:fill="FFFFFF"/>
        </w:rPr>
        <w:t xml:space="preserve"> e un miliardo e mezzo a regioni e province autonome.</w:t>
      </w:r>
    </w:p>
    <w:p w:rsidR="0034723D" w:rsidRPr="0034723D" w:rsidRDefault="0034723D" w:rsidP="0034723D">
      <w:pPr>
        <w:jc w:val="both"/>
        <w:rPr>
          <w:rFonts w:ascii="Bookman Old Style" w:hAnsi="Bookman Old Style" w:cs="Segoe UI"/>
          <w:shd w:val="clear" w:color="auto" w:fill="FFFFFF"/>
        </w:rPr>
      </w:pPr>
      <w:r w:rsidRPr="0034723D">
        <w:rPr>
          <w:rFonts w:ascii="Bookman Old Style" w:hAnsi="Bookman Old Style" w:cs="Segoe UI"/>
          <w:shd w:val="clear" w:color="auto" w:fill="FFFFFF"/>
        </w:rPr>
        <w:t>La seconda sezione avrà invece una dotazione di 4 miliardi è sarà destinata al pagamento</w:t>
      </w:r>
      <w:r>
        <w:rPr>
          <w:rFonts w:ascii="Bookman Old Style" w:hAnsi="Bookman Old Style" w:cs="Segoe UI"/>
          <w:shd w:val="clear" w:color="auto" w:fill="FFFFFF"/>
        </w:rPr>
        <w:t>,</w:t>
      </w:r>
      <w:r w:rsidRPr="0034723D">
        <w:rPr>
          <w:rFonts w:ascii="Bookman Old Style" w:hAnsi="Bookman Old Style" w:cs="Segoe UI"/>
          <w:shd w:val="clear" w:color="auto" w:fill="FFFFFF"/>
        </w:rPr>
        <w:t xml:space="preserve"> da parte delle regioni</w:t>
      </w:r>
      <w:r>
        <w:rPr>
          <w:rFonts w:ascii="Bookman Old Style" w:hAnsi="Bookman Old Style" w:cs="Segoe UI"/>
          <w:shd w:val="clear" w:color="auto" w:fill="FFFFFF"/>
        </w:rPr>
        <w:t>,</w:t>
      </w:r>
      <w:r w:rsidRPr="0034723D">
        <w:rPr>
          <w:rFonts w:ascii="Bookman Old Style" w:hAnsi="Bookman Old Style" w:cs="Segoe UI"/>
          <w:shd w:val="clear" w:color="auto" w:fill="FFFFFF"/>
        </w:rPr>
        <w:t xml:space="preserve"> dei debiti degli enti del servizio sanitario nazionale. </w:t>
      </w:r>
    </w:p>
    <w:p w:rsidR="0034723D" w:rsidRPr="0034723D" w:rsidRDefault="0034723D" w:rsidP="0034723D">
      <w:pPr>
        <w:jc w:val="both"/>
        <w:rPr>
          <w:rFonts w:ascii="Bookman Old Style" w:hAnsi="Bookman Old Style" w:cs="Segoe UI"/>
          <w:shd w:val="clear" w:color="auto" w:fill="FFFFFF"/>
        </w:rPr>
      </w:pPr>
      <w:r w:rsidRPr="0034723D">
        <w:rPr>
          <w:rFonts w:ascii="Bookman Old Style" w:hAnsi="Bookman Old Style" w:cs="Segoe UI"/>
          <w:shd w:val="clear" w:color="auto" w:fill="FFFFFF"/>
        </w:rPr>
        <w:t xml:space="preserve">Entro 10 giorni dall' entrata in vigore del decreto </w:t>
      </w:r>
      <w:r>
        <w:rPr>
          <w:rFonts w:ascii="Bookman Old Style" w:hAnsi="Bookman Old Style" w:cs="Segoe UI"/>
          <w:shd w:val="clear" w:color="auto" w:fill="FFFFFF"/>
        </w:rPr>
        <w:t xml:space="preserve">legge </w:t>
      </w:r>
      <w:r w:rsidRPr="0034723D">
        <w:rPr>
          <w:rFonts w:ascii="Bookman Old Style" w:hAnsi="Bookman Old Style" w:cs="Segoe UI"/>
          <w:shd w:val="clear" w:color="auto" w:fill="FFFFFF"/>
        </w:rPr>
        <w:t>Rilancio, il Mef stipulerà con Cdp un'apposita convenzione, trasferendo le disponibilità delle sezioni del Fondo su due conti correnti appositamente accesi presso la Tesoreria centrale dello Stato, su cui Cassa depositi e prestiti sarà autorizzata ad effettuare operazioni di prelevamento e versamento.</w:t>
      </w:r>
    </w:p>
    <w:p w:rsidR="0034723D" w:rsidRDefault="0034723D" w:rsidP="0034723D">
      <w:pPr>
        <w:jc w:val="both"/>
        <w:rPr>
          <w:rFonts w:ascii="Bookman Old Style" w:hAnsi="Bookman Old Style" w:cs="Segoe UI"/>
          <w:shd w:val="clear" w:color="auto" w:fill="FFFFFF"/>
        </w:rPr>
      </w:pPr>
      <w:r w:rsidRPr="0034723D">
        <w:rPr>
          <w:rFonts w:ascii="Bookman Old Style" w:hAnsi="Bookman Old Style" w:cs="Segoe UI"/>
          <w:b/>
          <w:shd w:val="clear" w:color="auto" w:fill="FFFFFF"/>
        </w:rPr>
        <w:t>Per aderire allo sblocca debiti, gli enti</w:t>
      </w:r>
      <w:r w:rsidRPr="0034723D">
        <w:rPr>
          <w:rFonts w:ascii="Bookman Old Style" w:hAnsi="Bookman Old Style" w:cs="Segoe UI"/>
          <w:shd w:val="clear" w:color="auto" w:fill="FFFFFF"/>
        </w:rPr>
        <w:t xml:space="preserve"> che, essendo in carenza di liquidità, non possono far fronte ai pagamenti di debiti certi, liquidi ed esigibili maturati al 31 dicembre 2019 per somministrazioni, forniture, appalti e obbligazioni per prestazioni professionali, </w:t>
      </w:r>
      <w:r w:rsidRPr="0034723D">
        <w:rPr>
          <w:rFonts w:ascii="Bookman Old Style" w:hAnsi="Bookman Old Style" w:cs="Segoe UI"/>
          <w:b/>
          <w:shd w:val="clear" w:color="auto" w:fill="FFFFFF"/>
        </w:rPr>
        <w:t>potranno chiedere l'anticipazione di liquidità con delibera di giunta da adottare tra il 15 giugno e il 7 luglio</w:t>
      </w:r>
      <w:r w:rsidRPr="0034723D">
        <w:rPr>
          <w:rFonts w:ascii="Bookman Old Style" w:hAnsi="Bookman Old Style" w:cs="Segoe UI"/>
          <w:shd w:val="clear" w:color="auto" w:fill="FFFFFF"/>
        </w:rPr>
        <w:t>. Le anticipazioni di liquidità non comporteranno disponibilità di risorse aggiuntive per gli enti richiedenti, ma consentiranno di superare temporanee carenze di liquidità e di effettuare pagamenti relativi a spese per le quali è già prevista idonea copertura di bilancio.</w:t>
      </w:r>
    </w:p>
    <w:p w:rsidR="0034723D" w:rsidRPr="0034723D" w:rsidRDefault="0034723D" w:rsidP="0034723D">
      <w:pPr>
        <w:jc w:val="both"/>
        <w:rPr>
          <w:rFonts w:ascii="Bookman Old Style" w:hAnsi="Bookman Old Style"/>
        </w:rPr>
      </w:pPr>
      <w:r w:rsidRPr="0034723D">
        <w:rPr>
          <w:rFonts w:ascii="Bookman Old Style" w:hAnsi="Bookman Old Style" w:cs="Segoe UI"/>
          <w:shd w:val="clear" w:color="auto" w:fill="FFFFFF"/>
        </w:rPr>
        <w:t xml:space="preserve">Le anticipazioni, inoltre, non costituiranno indebitamento. Il decreto </w:t>
      </w:r>
      <w:r>
        <w:rPr>
          <w:rFonts w:ascii="Bookman Old Style" w:hAnsi="Bookman Old Style" w:cs="Segoe UI"/>
          <w:shd w:val="clear" w:color="auto" w:fill="FFFFFF"/>
        </w:rPr>
        <w:t xml:space="preserve">legge </w:t>
      </w:r>
      <w:r w:rsidRPr="0034723D">
        <w:rPr>
          <w:rFonts w:ascii="Bookman Old Style" w:hAnsi="Bookman Old Style" w:cs="Segoe UI"/>
          <w:shd w:val="clear" w:color="auto" w:fill="FFFFFF"/>
        </w:rPr>
        <w:t>Rilancio fissa una dead line molto precisa entro cui le anticipazioni dovranno essere concesse, ossia il 24 luglio. I fondi ricevuti per pagare i debiti commerciali dovranno essere restituiti con un piano di ammortamento a rate costanti comprensive di quota capitale e quota interessi, con durata fino a un massimo di 30 anni. Le rate annuali saranno corrisposte a partire dall' esercizio 2022 e non oltre il 31 ottobre di ciascun anno.</w:t>
      </w:r>
    </w:p>
    <w:p w:rsidR="002F7CDC" w:rsidRPr="0034723D" w:rsidRDefault="000613B5" w:rsidP="000613B5">
      <w:pPr>
        <w:jc w:val="both"/>
        <w:rPr>
          <w:rFonts w:ascii="Bookman Old Style" w:hAnsi="Bookman Old Style"/>
        </w:rPr>
      </w:pPr>
      <w:r w:rsidRPr="0034723D">
        <w:rPr>
          <w:rFonts w:ascii="Bookman Old Style" w:hAnsi="Bookman Old Style"/>
        </w:rPr>
        <w:t>P</w:t>
      </w:r>
      <w:r w:rsidR="002F7CDC" w:rsidRPr="0034723D">
        <w:rPr>
          <w:rFonts w:ascii="Bookman Old Style" w:hAnsi="Bookman Old Style"/>
        </w:rPr>
        <w:t xml:space="preserve">er le attività oggetto della convenzione è autorizzata per l’anno 2020 una spesa pari a 300.000 euro. </w:t>
      </w:r>
    </w:p>
    <w:p w:rsidR="00CF0667" w:rsidRPr="00544E1F" w:rsidRDefault="00CF0667" w:rsidP="00CF0667">
      <w:pPr>
        <w:jc w:val="both"/>
        <w:rPr>
          <w:rFonts w:ascii="Bookman Old Style" w:hAnsi="Bookman Old Style"/>
          <w:b/>
        </w:rPr>
      </w:pPr>
    </w:p>
    <w:p w:rsidR="00544E1F" w:rsidRPr="00544E1F" w:rsidRDefault="00544E1F" w:rsidP="00CF0667">
      <w:pPr>
        <w:jc w:val="both"/>
        <w:rPr>
          <w:rFonts w:ascii="Bookman Old Style" w:hAnsi="Bookman Old Style"/>
          <w:b/>
        </w:rPr>
      </w:pPr>
      <w:r w:rsidRPr="00544E1F">
        <w:rPr>
          <w:rFonts w:ascii="Bookman Old Style" w:hAnsi="Bookman Old Style"/>
          <w:b/>
        </w:rPr>
        <w:t>MISURE FISCALI- TARIFFE</w:t>
      </w:r>
    </w:p>
    <w:p w:rsidR="00FD0DB4" w:rsidRPr="00FD0DB4" w:rsidRDefault="00FD0DB4" w:rsidP="00FD0DB4">
      <w:pPr>
        <w:pStyle w:val="Paragrafoelenco"/>
        <w:numPr>
          <w:ilvl w:val="0"/>
          <w:numId w:val="2"/>
        </w:numPr>
        <w:jc w:val="both"/>
        <w:rPr>
          <w:rFonts w:ascii="Bookman Old Style" w:hAnsi="Bookman Old Style"/>
          <w:b/>
        </w:rPr>
      </w:pPr>
      <w:r w:rsidRPr="00FD0DB4">
        <w:rPr>
          <w:rFonts w:ascii="Bookman Old Style" w:hAnsi="Bookman Old Style"/>
          <w:b/>
        </w:rPr>
        <w:t>Allineamento termini approvazione delle tariffe e delle aliquote TARI e IMU con il termine di approvazione del bilancio di previsione 2020 (Art.148)</w:t>
      </w:r>
    </w:p>
    <w:p w:rsidR="00F8102B" w:rsidRPr="00BB0528" w:rsidRDefault="00FD0DB4" w:rsidP="00BB0528">
      <w:pPr>
        <w:jc w:val="both"/>
        <w:rPr>
          <w:rFonts w:ascii="Bookman Old Style" w:hAnsi="Bookman Old Style"/>
        </w:rPr>
      </w:pPr>
      <w:r w:rsidRPr="00FD0DB4">
        <w:rPr>
          <w:rFonts w:ascii="Bookman Old Style" w:hAnsi="Bookman Old Style"/>
          <w:b/>
        </w:rPr>
        <w:t xml:space="preserve">Vengono uniformati i termini per l’approvazione degli atti deliberativi in materia di TARI e IMU </w:t>
      </w:r>
      <w:r>
        <w:rPr>
          <w:rFonts w:ascii="Bookman Old Style" w:hAnsi="Bookman Old Style"/>
          <w:b/>
        </w:rPr>
        <w:t>portandoli al</w:t>
      </w:r>
      <w:r w:rsidRPr="00FD0DB4">
        <w:rPr>
          <w:rFonts w:ascii="Bookman Old Style" w:hAnsi="Bookman Old Style"/>
          <w:b/>
          <w:u w:val="single"/>
        </w:rPr>
        <w:t xml:space="preserve"> 31 luglio 2020</w:t>
      </w:r>
      <w:r w:rsidRPr="00FD0DB4">
        <w:rPr>
          <w:rFonts w:ascii="Bookman Old Style" w:hAnsi="Bookman Old Style"/>
        </w:rPr>
        <w:t xml:space="preserve"> </w:t>
      </w:r>
      <w:r w:rsidRPr="001C3751">
        <w:rPr>
          <w:rFonts w:ascii="Bookman Old Style" w:hAnsi="Bookman Old Style"/>
          <w:b/>
        </w:rPr>
        <w:t>che è anche il termine previsto per il bilancio di previsione</w:t>
      </w:r>
      <w:r w:rsidRPr="00FD0DB4">
        <w:rPr>
          <w:rFonts w:ascii="Bookman Old Style" w:hAnsi="Bookman Old Style"/>
        </w:rPr>
        <w:t xml:space="preserve">. </w:t>
      </w:r>
      <w:r>
        <w:rPr>
          <w:rFonts w:ascii="Bookman Old Style" w:hAnsi="Bookman Old Style"/>
        </w:rPr>
        <w:t>Attualmente infatti</w:t>
      </w:r>
      <w:r w:rsidRPr="00FD0DB4">
        <w:rPr>
          <w:rFonts w:ascii="Bookman Old Style" w:hAnsi="Bookman Old Style"/>
        </w:rPr>
        <w:t xml:space="preserve"> il termine per l’approvazione delle tariffe della TARI è fissato al 30 giugno mentre per l’IMU il </w:t>
      </w:r>
      <w:r w:rsidR="007B1B9A">
        <w:rPr>
          <w:rFonts w:ascii="Bookman Old Style" w:hAnsi="Bookman Old Style"/>
        </w:rPr>
        <w:t xml:space="preserve">termine era stato prorogato </w:t>
      </w:r>
      <w:r w:rsidRPr="00FD0DB4">
        <w:rPr>
          <w:rFonts w:ascii="Bookman Old Style" w:hAnsi="Bookman Old Style"/>
        </w:rPr>
        <w:t xml:space="preserve">fino a giugno. </w:t>
      </w:r>
    </w:p>
    <w:p w:rsidR="00F8102B" w:rsidRDefault="00F8102B" w:rsidP="00941364">
      <w:pPr>
        <w:rPr>
          <w:rFonts w:ascii="Bookman Old Style" w:hAnsi="Bookman Old Style"/>
          <w:b/>
        </w:rPr>
      </w:pPr>
    </w:p>
    <w:p w:rsidR="00F8102B" w:rsidRPr="00F8102B" w:rsidRDefault="00F8102B" w:rsidP="00F8102B">
      <w:pPr>
        <w:pStyle w:val="Paragrafoelenco"/>
        <w:numPr>
          <w:ilvl w:val="0"/>
          <w:numId w:val="2"/>
        </w:numPr>
        <w:rPr>
          <w:rFonts w:ascii="Bookman Old Style" w:hAnsi="Bookman Old Style"/>
          <w:b/>
        </w:rPr>
      </w:pPr>
      <w:r w:rsidRPr="00F8102B">
        <w:rPr>
          <w:rFonts w:ascii="Bookman Old Style" w:hAnsi="Bookman Old Style"/>
          <w:b/>
        </w:rPr>
        <w:t xml:space="preserve">Riformulazione articolo 48 del Dl Cura Italia </w:t>
      </w:r>
    </w:p>
    <w:p w:rsidR="00E24B89" w:rsidRDefault="00E24B89" w:rsidP="00E24B89">
      <w:pPr>
        <w:jc w:val="both"/>
        <w:rPr>
          <w:rFonts w:ascii="Bookman Old Style" w:hAnsi="Bookman Old Style"/>
        </w:rPr>
      </w:pPr>
      <w:r>
        <w:rPr>
          <w:rFonts w:ascii="Bookman Old Style" w:hAnsi="Bookman Old Style"/>
        </w:rPr>
        <w:lastRenderedPageBreak/>
        <w:t>Viene sostituito</w:t>
      </w:r>
      <w:r w:rsidRPr="002F7CDC">
        <w:rPr>
          <w:rFonts w:ascii="Bookman Old Style" w:hAnsi="Bookman Old Style"/>
        </w:rPr>
        <w:t xml:space="preserve"> integralmente l’articolo 48</w:t>
      </w:r>
      <w:r>
        <w:rPr>
          <w:rFonts w:ascii="Bookman Old Style" w:hAnsi="Bookman Old Style"/>
        </w:rPr>
        <w:t xml:space="preserve"> del d.l. Cura Italia prevedendo che </w:t>
      </w:r>
      <w:r w:rsidRPr="004D7988">
        <w:rPr>
          <w:rFonts w:ascii="Bookman Old Style" w:hAnsi="Bookman Old Style"/>
          <w:b/>
        </w:rPr>
        <w:t xml:space="preserve">durante la sospensione dei servizi educativi e scolastici </w:t>
      </w:r>
      <w:r w:rsidRPr="002F7CDC">
        <w:rPr>
          <w:rFonts w:ascii="Bookman Old Style" w:hAnsi="Bookman Old Style"/>
        </w:rPr>
        <w:t xml:space="preserve">e durante la sospensione delle attività sociosanitarie e socioassistenziali nei centri diurni per anziani e per persone con disabilità, dei centri diurni e semiresidenziali per minori, per la salute mentale, per le dipendenze e per persone senza fissa dimora, dei servizi sanitari differibili, che sia stata disposta con ordinanze regionali o altri provvedimenti, in ragione  dell'emergenza di protezione civile e del conseguente stato di necessità, </w:t>
      </w:r>
      <w:r w:rsidRPr="00175D61">
        <w:rPr>
          <w:rFonts w:ascii="Bookman Old Style" w:hAnsi="Bookman Old Style"/>
          <w:b/>
        </w:rPr>
        <w:t>le pubbliche amministrazioni forniscano prestazioni sostitutive che possono avvenire in forme individuali domiciliari o a distanza o che possono essere  rese negli stessi luoghi ove si svolgono normalmente i servizi</w:t>
      </w:r>
      <w:r w:rsidRPr="002F7CDC">
        <w:rPr>
          <w:rFonts w:ascii="Bookman Old Style" w:hAnsi="Bookman Old Style"/>
        </w:rPr>
        <w:t xml:space="preserve">, nel rispetto delle direttive sanitarie e delle regole di sicurezza relative al distanziamento sociale. L’individuazione delle prestazioni da svolgere e le modalità attraverso cui svolgerle possono essere definite tramite coprogettazioni con gli enti gestori, e possono riguardare specifici progetti da questi ultimi proposti.  I servizi sostitutivi vengono svolti avvalendosi del personale disponibile, già impiegato nei servizi sospesi, anche dipendente da soggetti privati che operano in convenzione, concessione o appalto, ed esclusivamente impiegando i fondi ordinari destinati a tale finalità. Viene assicurato il rispetto di protocolli che definiscano tutte le misure necessarie per garantire la massima tutela della salute di operatori ed utenti. </w:t>
      </w:r>
    </w:p>
    <w:p w:rsidR="00E24B89" w:rsidRPr="003B7CD2" w:rsidRDefault="00E24B89" w:rsidP="00E24B89">
      <w:pPr>
        <w:jc w:val="both"/>
        <w:rPr>
          <w:rFonts w:ascii="Bookman Old Style" w:hAnsi="Bookman Old Style"/>
          <w:b/>
        </w:rPr>
      </w:pPr>
      <w:r>
        <w:rPr>
          <w:rFonts w:ascii="Bookman Old Style" w:hAnsi="Bookman Old Style"/>
        </w:rPr>
        <w:t>S</w:t>
      </w:r>
      <w:r w:rsidRPr="003B7CD2">
        <w:rPr>
          <w:rFonts w:ascii="Bookman Old Style" w:hAnsi="Bookman Old Style"/>
        </w:rPr>
        <w:t>i segnala positivamente che</w:t>
      </w:r>
      <w:r>
        <w:rPr>
          <w:rFonts w:ascii="Bookman Old Style" w:hAnsi="Bookman Old Style"/>
        </w:rPr>
        <w:t xml:space="preserve"> l’articolo 116 corregge altresì </w:t>
      </w:r>
      <w:r w:rsidRPr="003B7CD2">
        <w:rPr>
          <w:rFonts w:ascii="Bookman Old Style" w:hAnsi="Bookman Old Style"/>
          <w:b/>
        </w:rPr>
        <w:t>la disposizione in materia di trasporto scolastico</w:t>
      </w:r>
      <w:r>
        <w:rPr>
          <w:rFonts w:ascii="Bookman Old Style" w:hAnsi="Bookman Old Style"/>
          <w:b/>
        </w:rPr>
        <w:t xml:space="preserve"> </w:t>
      </w:r>
      <w:r w:rsidRPr="003B7CD2">
        <w:rPr>
          <w:rFonts w:ascii="Bookman Old Style" w:hAnsi="Bookman Old Style"/>
        </w:rPr>
        <w:t>(art. 92</w:t>
      </w:r>
      <w:r>
        <w:rPr>
          <w:rFonts w:ascii="Bookman Old Style" w:hAnsi="Bookman Old Style"/>
        </w:rPr>
        <w:t>, comma 4 bis</w:t>
      </w:r>
      <w:r w:rsidRPr="003B7CD2">
        <w:rPr>
          <w:rFonts w:ascii="Bookman Old Style" w:hAnsi="Bookman Old Style"/>
        </w:rPr>
        <w:t xml:space="preserve"> del d.l. Cura Italia)</w:t>
      </w:r>
      <w:r>
        <w:rPr>
          <w:rFonts w:ascii="Bookman Old Style" w:hAnsi="Bookman Old Style"/>
          <w:b/>
        </w:rPr>
        <w:t xml:space="preserve"> pertanto</w:t>
      </w:r>
      <w:r w:rsidRPr="003B7CD2">
        <w:rPr>
          <w:rFonts w:ascii="Bookman Old Style" w:hAnsi="Bookman Old Style"/>
          <w:b/>
        </w:rPr>
        <w:t xml:space="preserve"> i Comuni non sono costretti a pagare </w:t>
      </w:r>
      <w:r>
        <w:rPr>
          <w:rFonts w:ascii="Bookman Old Style" w:hAnsi="Bookman Old Style"/>
          <w:b/>
        </w:rPr>
        <w:t>ai gestori di servizio per il trasporto scolastico le corse non effettuate a causa del</w:t>
      </w:r>
      <w:r w:rsidRPr="003B7CD2">
        <w:rPr>
          <w:rFonts w:ascii="Bookman Old Style" w:hAnsi="Bookman Old Style"/>
          <w:b/>
        </w:rPr>
        <w:t>la chiusura delle scuole.</w:t>
      </w:r>
    </w:p>
    <w:p w:rsidR="00E24B89" w:rsidRDefault="00E24B89" w:rsidP="00E24B89">
      <w:pPr>
        <w:jc w:val="both"/>
        <w:rPr>
          <w:rFonts w:ascii="Bookman Old Style" w:hAnsi="Bookman Old Style"/>
          <w:highlight w:val="yellow"/>
        </w:rPr>
      </w:pPr>
    </w:p>
    <w:p w:rsidR="00E24B89" w:rsidRDefault="00E24B89" w:rsidP="00E24B89">
      <w:pPr>
        <w:jc w:val="both"/>
        <w:rPr>
          <w:rFonts w:ascii="Bookman Old Style" w:hAnsi="Bookman Old Style"/>
        </w:rPr>
      </w:pPr>
      <w:r>
        <w:rPr>
          <w:rFonts w:ascii="Bookman Old Style" w:hAnsi="Bookman Old Style"/>
          <w:highlight w:val="yellow"/>
        </w:rPr>
        <w:t xml:space="preserve"> </w:t>
      </w:r>
    </w:p>
    <w:p w:rsidR="00F8102B" w:rsidRDefault="00F8102B" w:rsidP="00941364">
      <w:pPr>
        <w:rPr>
          <w:rFonts w:ascii="Bookman Old Style" w:hAnsi="Bookman Old Style"/>
          <w:b/>
        </w:rPr>
      </w:pPr>
    </w:p>
    <w:p w:rsidR="008741FA" w:rsidRPr="00F8102B" w:rsidRDefault="00F8102B" w:rsidP="00941364">
      <w:pPr>
        <w:rPr>
          <w:rFonts w:ascii="Bookman Old Style" w:hAnsi="Bookman Old Style"/>
          <w:b/>
          <w:color w:val="002060"/>
          <w:sz w:val="20"/>
          <w:szCs w:val="20"/>
        </w:rPr>
      </w:pPr>
      <w:r w:rsidRPr="00F8102B">
        <w:rPr>
          <w:rFonts w:ascii="Bookman Old Style" w:hAnsi="Bookman Old Style"/>
          <w:b/>
          <w:color w:val="002060"/>
          <w:sz w:val="20"/>
          <w:szCs w:val="20"/>
        </w:rPr>
        <w:t xml:space="preserve">ALTRE RISORSE ASSEGNATE AI COMUNI OLTRE AI 3 MILIARDI: </w:t>
      </w:r>
    </w:p>
    <w:p w:rsidR="00544E1F" w:rsidRDefault="00544E1F" w:rsidP="00941364">
      <w:pPr>
        <w:rPr>
          <w:rFonts w:ascii="Bookman Old Style" w:hAnsi="Bookman Old Style"/>
          <w:b/>
        </w:rPr>
      </w:pPr>
      <w:r>
        <w:rPr>
          <w:rFonts w:ascii="Bookman Old Style" w:hAnsi="Bookman Old Style"/>
          <w:b/>
        </w:rPr>
        <w:t>TURISMO</w:t>
      </w:r>
    </w:p>
    <w:p w:rsidR="00544E1F" w:rsidRPr="0011173F" w:rsidRDefault="00271A9A" w:rsidP="00937513">
      <w:pPr>
        <w:pStyle w:val="Paragrafoelenco"/>
        <w:numPr>
          <w:ilvl w:val="0"/>
          <w:numId w:val="2"/>
        </w:numPr>
        <w:jc w:val="both"/>
        <w:rPr>
          <w:rFonts w:ascii="Bookman Old Style" w:hAnsi="Bookman Old Style"/>
        </w:rPr>
      </w:pPr>
      <w:r w:rsidRPr="00271A9A">
        <w:rPr>
          <w:rFonts w:ascii="Bookman Old Style" w:hAnsi="Bookman Old Style"/>
          <w:b/>
        </w:rPr>
        <w:t xml:space="preserve">Esenzioni dall’imposta municipale propria-IMU per il settore turistico </w:t>
      </w:r>
      <w:r w:rsidR="00544E1F" w:rsidRPr="0011173F">
        <w:rPr>
          <w:rFonts w:ascii="Bookman Old Style" w:hAnsi="Bookman Old Style"/>
        </w:rPr>
        <w:t>(</w:t>
      </w:r>
      <w:r>
        <w:rPr>
          <w:rFonts w:ascii="Bookman Old Style" w:hAnsi="Bookman Old Style"/>
          <w:b/>
        </w:rPr>
        <w:t>A</w:t>
      </w:r>
      <w:r w:rsidR="00544E1F">
        <w:rPr>
          <w:rFonts w:ascii="Bookman Old Style" w:hAnsi="Bookman Old Style"/>
          <w:b/>
        </w:rPr>
        <w:t>rt. 184</w:t>
      </w:r>
      <w:r w:rsidR="00544E1F" w:rsidRPr="0011173F">
        <w:rPr>
          <w:rFonts w:ascii="Bookman Old Style" w:hAnsi="Bookman Old Style"/>
          <w:b/>
        </w:rPr>
        <w:t>)</w:t>
      </w:r>
    </w:p>
    <w:p w:rsidR="00271A9A" w:rsidRDefault="00271A9A" w:rsidP="00544E1F">
      <w:pPr>
        <w:jc w:val="both"/>
        <w:rPr>
          <w:rFonts w:ascii="Bookman Old Style" w:hAnsi="Bookman Old Style"/>
        </w:rPr>
      </w:pPr>
      <w:r>
        <w:rPr>
          <w:rFonts w:ascii="Bookman Old Style" w:hAnsi="Bookman Old Style"/>
        </w:rPr>
        <w:t>Si</w:t>
      </w:r>
      <w:r w:rsidR="00356AC4" w:rsidRPr="00356AC4">
        <w:rPr>
          <w:rFonts w:ascii="Bookman Old Style" w:hAnsi="Bookman Old Style"/>
        </w:rPr>
        <w:t xml:space="preserve"> prevede l’abolizione del versamento della prima rata dell'IMU, quota-Stato e quota-Comune in scadenza alla data del 16 giugno 2020 per i possessori di immobili classificati nella categoria catastale D/2, vale a dire gli immobili degli agriturismi, dei villaggi turistici, degli ostelli della gioventù e dei campeggi, a condizione che i relativi proprietari siano anche gestori delle attività ivi esercitate, a condizione che i possessori degli stessi siano anche gestori delle attività ivi svolte. La norma prevede altresì la stessa agevolazione per gli stabilimenti balneari vale a dire quelli marittimi, lacuali e fluviali nonché per gli stabilimenti termali. </w:t>
      </w:r>
    </w:p>
    <w:p w:rsidR="00544E1F" w:rsidRPr="00271A9A" w:rsidRDefault="00271A9A" w:rsidP="00544E1F">
      <w:pPr>
        <w:jc w:val="both"/>
        <w:rPr>
          <w:rFonts w:ascii="Bookman Old Style" w:hAnsi="Bookman Old Style"/>
          <w:b/>
          <w:u w:val="single"/>
        </w:rPr>
      </w:pPr>
      <w:r w:rsidRPr="00271A9A">
        <w:rPr>
          <w:rFonts w:ascii="Bookman Old Style" w:hAnsi="Bookman Old Style"/>
          <w:b/>
        </w:rPr>
        <w:t>Per il ristoro ai comuni a fronte delle minori delle entrate</w:t>
      </w:r>
      <w:r>
        <w:rPr>
          <w:rFonts w:ascii="Bookman Old Style" w:hAnsi="Bookman Old Style"/>
          <w:b/>
        </w:rPr>
        <w:t xml:space="preserve"> dalla norma </w:t>
      </w:r>
      <w:r w:rsidRPr="00271A9A">
        <w:rPr>
          <w:rFonts w:ascii="Bookman Old Style" w:hAnsi="Bookman Old Style"/>
          <w:b/>
        </w:rPr>
        <w:t xml:space="preserve">è istituito, nello stato di previsione del Ministero dell’interno, un fondo con una dotazione di </w:t>
      </w:r>
      <w:r w:rsidRPr="00271A9A">
        <w:rPr>
          <w:rFonts w:ascii="Bookman Old Style" w:hAnsi="Bookman Old Style"/>
          <w:b/>
          <w:u w:val="single"/>
        </w:rPr>
        <w:t>158,7 milioni di euro per l’anno 2020</w:t>
      </w:r>
      <w:r>
        <w:rPr>
          <w:rFonts w:ascii="Bookman Old Style" w:hAnsi="Bookman Old Style"/>
          <w:b/>
          <w:u w:val="single"/>
        </w:rPr>
        <w:t xml:space="preserve"> </w:t>
      </w:r>
      <w:r w:rsidRPr="00271A9A">
        <w:rPr>
          <w:rFonts w:ascii="Bookman Old Style" w:hAnsi="Bookman Old Style"/>
        </w:rPr>
        <w:t>da ripartirsi con</w:t>
      </w:r>
      <w:r w:rsidR="00544E1F" w:rsidRPr="00941364">
        <w:rPr>
          <w:rFonts w:ascii="Bookman Old Style" w:hAnsi="Bookman Old Style"/>
        </w:rPr>
        <w:t xml:space="preserve"> decreto del Ministro dell’interno di concerto con il Ministro dell’economia e delle finanze, previa intesa in sede di Conferenza Stato-città ed autonomie locali, da adottare entro trenta giorni dalla data di entrata in vigore del presente decreto</w:t>
      </w:r>
      <w:r w:rsidR="00544E1F" w:rsidRPr="00941364">
        <w:rPr>
          <w:rFonts w:ascii="Bookman Old Style" w:hAnsi="Bookman Old Style"/>
          <w:b/>
        </w:rPr>
        <w:t xml:space="preserve">. </w:t>
      </w:r>
    </w:p>
    <w:p w:rsidR="00544E1F" w:rsidRDefault="00544E1F" w:rsidP="00544E1F">
      <w:pPr>
        <w:rPr>
          <w:rFonts w:ascii="Bookman Old Style" w:hAnsi="Bookman Old Style"/>
          <w:b/>
        </w:rPr>
      </w:pPr>
    </w:p>
    <w:p w:rsidR="00544E1F" w:rsidRPr="00941364" w:rsidRDefault="00821AA7" w:rsidP="00821AA7">
      <w:pPr>
        <w:pStyle w:val="Paragrafoelenco"/>
        <w:numPr>
          <w:ilvl w:val="0"/>
          <w:numId w:val="2"/>
        </w:numPr>
        <w:jc w:val="both"/>
        <w:rPr>
          <w:rFonts w:ascii="Bookman Old Style" w:hAnsi="Bookman Old Style"/>
          <w:b/>
        </w:rPr>
      </w:pPr>
      <w:r w:rsidRPr="00821AA7">
        <w:rPr>
          <w:rFonts w:ascii="Bookman Old Style" w:hAnsi="Bookman Old Style"/>
          <w:b/>
        </w:rPr>
        <w:lastRenderedPageBreak/>
        <w:t xml:space="preserve">Ristoro ai Comuni per la riduzione di gettito dell’imposta di soggiorno </w:t>
      </w:r>
      <w:r w:rsidR="00544E1F" w:rsidRPr="00941364">
        <w:rPr>
          <w:rFonts w:ascii="Bookman Old Style" w:hAnsi="Bookman Old Style"/>
          <w:b/>
        </w:rPr>
        <w:t>(Art.187)</w:t>
      </w:r>
    </w:p>
    <w:p w:rsidR="00937513" w:rsidRDefault="00937513" w:rsidP="00937513">
      <w:pPr>
        <w:jc w:val="both"/>
        <w:rPr>
          <w:rFonts w:ascii="Bookman Old Style" w:hAnsi="Bookman Old Style"/>
        </w:rPr>
      </w:pPr>
      <w:r w:rsidRPr="00937513">
        <w:rPr>
          <w:rFonts w:ascii="Bookman Old Style" w:hAnsi="Bookman Old Style"/>
          <w:b/>
        </w:rPr>
        <w:t>Nell’anno 2020 è istituito, nello stato di previsione del Ministero dell’interno, un Fondo, con una dotazione di 100 milioni di euro</w:t>
      </w:r>
      <w:r w:rsidRPr="00937513">
        <w:rPr>
          <w:rFonts w:ascii="Bookman Old Style" w:hAnsi="Bookman Old Style"/>
        </w:rPr>
        <w:t xml:space="preserve">, per il ristoro parziale dei comuni a fronte delle minori entrate derivanti dalla mancata riscossione dell’imposta di soggiorno in conseguenza dell’adozione delle misure di contenimento del COVID-19. </w:t>
      </w:r>
    </w:p>
    <w:p w:rsidR="0080159B" w:rsidRDefault="00937513" w:rsidP="00937513">
      <w:pPr>
        <w:jc w:val="both"/>
        <w:rPr>
          <w:rFonts w:ascii="Bookman Old Style" w:hAnsi="Bookman Old Style"/>
        </w:rPr>
      </w:pPr>
      <w:r w:rsidRPr="00937513">
        <w:rPr>
          <w:rFonts w:ascii="Bookman Old Style" w:hAnsi="Bookman Old Style"/>
        </w:rPr>
        <w:t>Alla ripartizione del Fondo</w:t>
      </w:r>
      <w:r>
        <w:rPr>
          <w:rFonts w:ascii="Bookman Old Style" w:hAnsi="Bookman Old Style"/>
        </w:rPr>
        <w:t xml:space="preserve"> </w:t>
      </w:r>
      <w:r w:rsidRPr="00937513">
        <w:rPr>
          <w:rFonts w:ascii="Bookman Old Style" w:hAnsi="Bookman Old Style"/>
        </w:rPr>
        <w:t xml:space="preserve">si provvede con decreto del Ministro dell’interno di concerto con il Ministro dell’economia e delle finanze, previa intesa in sede Conferenza Stato-città ed autonomie locali da adottare entro 30 giorni dall’entrata in vigore del presente decreto. </w:t>
      </w:r>
    </w:p>
    <w:p w:rsidR="00937513" w:rsidRPr="00941364" w:rsidRDefault="00937513" w:rsidP="00937513">
      <w:pPr>
        <w:jc w:val="both"/>
        <w:rPr>
          <w:rFonts w:ascii="Bookman Old Style" w:hAnsi="Bookman Old Style"/>
          <w:b/>
        </w:rPr>
      </w:pPr>
    </w:p>
    <w:p w:rsidR="00DF0C9D" w:rsidRPr="00DF0C9D" w:rsidRDefault="00941364" w:rsidP="00DF0C9D">
      <w:pPr>
        <w:pStyle w:val="Paragrafoelenco"/>
        <w:numPr>
          <w:ilvl w:val="0"/>
          <w:numId w:val="2"/>
        </w:numPr>
        <w:rPr>
          <w:rFonts w:ascii="Bookman Old Style" w:hAnsi="Bookman Old Style"/>
          <w:b/>
        </w:rPr>
      </w:pPr>
      <w:r w:rsidRPr="00DF0C9D">
        <w:rPr>
          <w:rFonts w:ascii="Bookman Old Style" w:hAnsi="Bookman Old Style"/>
          <w:b/>
        </w:rPr>
        <w:t>Sostegno delle imprese di pubblico esercizio</w:t>
      </w:r>
      <w:r w:rsidR="007717DE">
        <w:rPr>
          <w:rFonts w:ascii="Bookman Old Style" w:hAnsi="Bookman Old Style"/>
          <w:b/>
        </w:rPr>
        <w:t>- esenzione pagamento TOSAP</w:t>
      </w:r>
      <w:r w:rsidRPr="00DF0C9D">
        <w:rPr>
          <w:rFonts w:ascii="Bookman Old Style" w:hAnsi="Bookman Old Style"/>
          <w:b/>
        </w:rPr>
        <w:t xml:space="preserve"> </w:t>
      </w:r>
      <w:r w:rsidR="00F8102B">
        <w:rPr>
          <w:rFonts w:ascii="Bookman Old Style" w:hAnsi="Bookman Old Style"/>
          <w:b/>
        </w:rPr>
        <w:t xml:space="preserve">COSAP </w:t>
      </w:r>
      <w:r w:rsidR="00DF0C9D" w:rsidRPr="00DF0C9D">
        <w:rPr>
          <w:rFonts w:ascii="Bookman Old Style" w:hAnsi="Bookman Old Style"/>
          <w:b/>
        </w:rPr>
        <w:t>(Art.187-bis)</w:t>
      </w:r>
    </w:p>
    <w:p w:rsidR="00D700E7" w:rsidRDefault="00D700E7" w:rsidP="007717DE">
      <w:pPr>
        <w:jc w:val="both"/>
        <w:rPr>
          <w:rFonts w:ascii="Bookman Old Style" w:hAnsi="Bookman Old Style"/>
        </w:rPr>
      </w:pPr>
    </w:p>
    <w:p w:rsidR="007717DE" w:rsidRDefault="00D700E7" w:rsidP="00D700E7">
      <w:pPr>
        <w:jc w:val="both"/>
        <w:rPr>
          <w:rFonts w:ascii="Bookman Old Style" w:hAnsi="Bookman Old Style"/>
        </w:rPr>
      </w:pPr>
      <w:r>
        <w:rPr>
          <w:rFonts w:ascii="Bookman Old Style" w:hAnsi="Bookman Old Style"/>
        </w:rPr>
        <w:t>S</w:t>
      </w:r>
      <w:r w:rsidRPr="00D700E7">
        <w:rPr>
          <w:rFonts w:ascii="Bookman Old Style" w:hAnsi="Bookman Old Style"/>
        </w:rPr>
        <w:t xml:space="preserve">i esonerano dal pagamento della TOSAP e del COSAP le imprese di pubblico esercizio titolari di concessioni o di autorizzazioni di suolo pubblico </w:t>
      </w:r>
      <w:r w:rsidRPr="00D700E7">
        <w:rPr>
          <w:rFonts w:ascii="Bookman Old Style" w:hAnsi="Bookman Old Style"/>
          <w:b/>
        </w:rPr>
        <w:t>fino al 31 ottobre 2020</w:t>
      </w:r>
      <w:r w:rsidRPr="00D700E7">
        <w:rPr>
          <w:rFonts w:ascii="Bookman Old Style" w:hAnsi="Bookman Old Style"/>
        </w:rPr>
        <w:t xml:space="preserve">. </w:t>
      </w:r>
    </w:p>
    <w:p w:rsidR="00F8102B" w:rsidRDefault="00F8102B" w:rsidP="00D700E7">
      <w:pPr>
        <w:jc w:val="both"/>
        <w:rPr>
          <w:rFonts w:ascii="Bookman Old Style" w:hAnsi="Bookman Old Style"/>
        </w:rPr>
      </w:pPr>
    </w:p>
    <w:p w:rsidR="00D700E7" w:rsidRDefault="007717DE" w:rsidP="007717DE">
      <w:pPr>
        <w:jc w:val="both"/>
        <w:rPr>
          <w:rFonts w:ascii="Bookman Old Style" w:hAnsi="Bookman Old Style"/>
        </w:rPr>
      </w:pPr>
      <w:r w:rsidRPr="00D725CB">
        <w:rPr>
          <w:rFonts w:ascii="Bookman Old Style" w:hAnsi="Bookman Old Style"/>
          <w:b/>
        </w:rPr>
        <w:t>F</w:t>
      </w:r>
      <w:r w:rsidR="00941364" w:rsidRPr="00D725CB">
        <w:rPr>
          <w:rFonts w:ascii="Bookman Old Style" w:hAnsi="Bookman Old Style"/>
          <w:b/>
        </w:rPr>
        <w:t>ino al 31 ottobre 2020, le domande di nuove concessioni</w:t>
      </w:r>
      <w:r w:rsidR="00941364" w:rsidRPr="00DF0C9D">
        <w:rPr>
          <w:rFonts w:ascii="Bookman Old Style" w:hAnsi="Bookman Old Style"/>
        </w:rPr>
        <w:t xml:space="preserve"> per l’occupazione di suolo pubblico ovvero di ampliamento delle superfici già concesse </w:t>
      </w:r>
      <w:r w:rsidR="00941364" w:rsidRPr="00D725CB">
        <w:rPr>
          <w:rFonts w:ascii="Bookman Old Style" w:hAnsi="Bookman Old Style"/>
          <w:b/>
        </w:rPr>
        <w:t>sono presentate mediante istanza all’ufficio competente dell’Ente locale,</w:t>
      </w:r>
      <w:r w:rsidR="00941364" w:rsidRPr="00DF0C9D">
        <w:rPr>
          <w:rFonts w:ascii="Bookman Old Style" w:hAnsi="Bookman Old Style"/>
        </w:rPr>
        <w:t xml:space="preserve"> </w:t>
      </w:r>
      <w:r w:rsidR="00941364" w:rsidRPr="00D725CB">
        <w:rPr>
          <w:rFonts w:ascii="Bookman Old Style" w:hAnsi="Bookman Old Style"/>
          <w:b/>
        </w:rPr>
        <w:t>con allegata la sola planimetria per via telematica</w:t>
      </w:r>
      <w:r w:rsidR="00941364" w:rsidRPr="00DF0C9D">
        <w:rPr>
          <w:rFonts w:ascii="Bookman Old Style" w:hAnsi="Bookman Old Style"/>
        </w:rPr>
        <w:t>, in deroga alla normativa</w:t>
      </w:r>
      <w:r w:rsidR="00D700E7">
        <w:rPr>
          <w:rFonts w:ascii="Bookman Old Style" w:hAnsi="Bookman Old Style"/>
        </w:rPr>
        <w:t xml:space="preserve"> in materia di imposto di bollo.</w:t>
      </w:r>
    </w:p>
    <w:p w:rsidR="00DF0C9D" w:rsidRPr="00DF0C9D" w:rsidRDefault="007717DE" w:rsidP="007717DE">
      <w:pPr>
        <w:jc w:val="both"/>
        <w:rPr>
          <w:rFonts w:ascii="Bookman Old Style" w:hAnsi="Bookman Old Style"/>
        </w:rPr>
      </w:pPr>
      <w:r>
        <w:rPr>
          <w:rFonts w:ascii="Bookman Old Style" w:hAnsi="Bookman Old Style"/>
        </w:rPr>
        <w:t>Per</w:t>
      </w:r>
      <w:r w:rsidR="00941364" w:rsidRPr="00DF0C9D">
        <w:rPr>
          <w:rFonts w:ascii="Bookman Old Style" w:hAnsi="Bookman Old Style"/>
        </w:rPr>
        <w:t xml:space="preserve"> assicurare il rispetto delle misure di distanziamento connesse all’emergenza da COVID-19, e comunque non oltre il 31 ottobre 2020, la posa in opera temporanea su vie, piazze, strade e altri spazi aperti di interesse culturale o paesaggistico, da parte </w:t>
      </w:r>
      <w:r>
        <w:rPr>
          <w:rFonts w:ascii="Bookman Old Style" w:hAnsi="Bookman Old Style"/>
        </w:rPr>
        <w:t>dei titolari di concessioni, di</w:t>
      </w:r>
      <w:r w:rsidR="00941364" w:rsidRPr="00DF0C9D">
        <w:rPr>
          <w:rFonts w:ascii="Bookman Old Style" w:hAnsi="Bookman Old Style"/>
        </w:rPr>
        <w:t xml:space="preserve"> strutture amovibili, quali dehors, elementi di arredo urbano, attrezzature, pedane, tavolini, sedute e ombrelloni, purché funzionali all’attività di ristorazione, non è subordinata </w:t>
      </w:r>
      <w:r w:rsidR="00D725CB">
        <w:rPr>
          <w:rFonts w:ascii="Bookman Old Style" w:hAnsi="Bookman Old Style"/>
        </w:rPr>
        <w:t xml:space="preserve">alle </w:t>
      </w:r>
      <w:r w:rsidR="00941364" w:rsidRPr="00DF0C9D">
        <w:rPr>
          <w:rFonts w:ascii="Bookman Old Style" w:hAnsi="Bookman Old Style"/>
        </w:rPr>
        <w:t xml:space="preserve">autorizzazioni di cui agli articoli 21 e 146 del decreto legislativo 22 gennaio 2004, n. 42. </w:t>
      </w:r>
    </w:p>
    <w:p w:rsidR="00941364" w:rsidRPr="00941364" w:rsidRDefault="00941364" w:rsidP="001854F7">
      <w:pPr>
        <w:jc w:val="both"/>
        <w:rPr>
          <w:rFonts w:ascii="Bookman Old Style" w:hAnsi="Bookman Old Style"/>
          <w:b/>
        </w:rPr>
      </w:pPr>
      <w:r w:rsidRPr="00DF0C9D">
        <w:rPr>
          <w:rFonts w:ascii="Bookman Old Style" w:hAnsi="Bookman Old Style"/>
        </w:rPr>
        <w:t xml:space="preserve">Per il ristoro ai comuni delle minori entrate è istituito, nello stato di previsione del Ministero dell’interno, un fondo con una </w:t>
      </w:r>
      <w:r w:rsidRPr="001854F7">
        <w:rPr>
          <w:rFonts w:ascii="Bookman Old Style" w:hAnsi="Bookman Old Style"/>
          <w:b/>
        </w:rPr>
        <w:t xml:space="preserve">dotazione di </w:t>
      </w:r>
      <w:r w:rsidR="00D700E7">
        <w:rPr>
          <w:rFonts w:ascii="Bookman Old Style" w:hAnsi="Bookman Old Style"/>
          <w:b/>
        </w:rPr>
        <w:t>127</w:t>
      </w:r>
      <w:r w:rsidRPr="001854F7">
        <w:rPr>
          <w:rFonts w:ascii="Bookman Old Style" w:hAnsi="Bookman Old Style"/>
          <w:b/>
        </w:rPr>
        <w:t xml:space="preserve"> milioni di euro per l’anno 2020</w:t>
      </w:r>
      <w:r w:rsidR="007B1B9A">
        <w:rPr>
          <w:rFonts w:ascii="Bookman Old Style" w:hAnsi="Bookman Old Style"/>
          <w:b/>
        </w:rPr>
        <w:t xml:space="preserve"> </w:t>
      </w:r>
      <w:r w:rsidR="007B1B9A" w:rsidRPr="007B1B9A">
        <w:rPr>
          <w:rFonts w:ascii="Bookman Old Style" w:hAnsi="Bookman Old Style"/>
        </w:rPr>
        <w:t>che verrà ripartito</w:t>
      </w:r>
      <w:r w:rsidRPr="007B1B9A">
        <w:rPr>
          <w:rFonts w:ascii="Bookman Old Style" w:hAnsi="Bookman Old Style"/>
        </w:rPr>
        <w:t xml:space="preserve"> in proporzione alla somma delle entrate per tassa e canone occupazione</w:t>
      </w:r>
      <w:r w:rsidRPr="00DF0C9D">
        <w:rPr>
          <w:rFonts w:ascii="Bookman Old Style" w:hAnsi="Bookman Old Style"/>
        </w:rPr>
        <w:t xml:space="preserve"> spazi e aree pubbliche al 31 dicembre 2019 come risultanti dal Siope, con decreto del Ministro dell’interno di concerto con il Ministro dell’economia e delle finanze, d'intesa con la Conferenza Stato-città ed autonomie locali da</w:t>
      </w:r>
      <w:r w:rsidRPr="00941364">
        <w:rPr>
          <w:rFonts w:ascii="Bookman Old Style" w:hAnsi="Bookman Old Style"/>
          <w:b/>
        </w:rPr>
        <w:t xml:space="preserve"> adottare entro trenta giorni dall’entrata in vigore del presente decreto. </w:t>
      </w:r>
    </w:p>
    <w:p w:rsidR="007E7064" w:rsidRDefault="007E7064" w:rsidP="00941364">
      <w:pPr>
        <w:rPr>
          <w:rFonts w:ascii="Bookman Old Style" w:hAnsi="Bookman Old Style"/>
          <w:b/>
        </w:rPr>
      </w:pPr>
    </w:p>
    <w:p w:rsidR="0080159B" w:rsidRDefault="00544E1F" w:rsidP="00941364">
      <w:pPr>
        <w:rPr>
          <w:rFonts w:ascii="Bookman Old Style" w:hAnsi="Bookman Old Style"/>
          <w:b/>
        </w:rPr>
      </w:pPr>
      <w:r>
        <w:rPr>
          <w:rFonts w:ascii="Bookman Old Style" w:hAnsi="Bookman Old Style"/>
          <w:b/>
        </w:rPr>
        <w:t>INFRASTRUTTURE E TRASPORTI</w:t>
      </w:r>
    </w:p>
    <w:p w:rsidR="0080159B" w:rsidRPr="0080159B" w:rsidRDefault="0080159B" w:rsidP="0080159B">
      <w:pPr>
        <w:pStyle w:val="Paragrafoelenco"/>
        <w:numPr>
          <w:ilvl w:val="0"/>
          <w:numId w:val="2"/>
        </w:numPr>
        <w:rPr>
          <w:rFonts w:ascii="Bookman Old Style" w:hAnsi="Bookman Old Style"/>
          <w:b/>
        </w:rPr>
      </w:pPr>
      <w:r w:rsidRPr="0080159B">
        <w:rPr>
          <w:rFonts w:ascii="Bookman Old Style" w:hAnsi="Bookman Old Style"/>
          <w:b/>
        </w:rPr>
        <w:t>Disposizioni in materia di trasporto pubblico locale (Art. 203)</w:t>
      </w:r>
    </w:p>
    <w:p w:rsidR="0080159B" w:rsidRDefault="0080159B" w:rsidP="0080159B">
      <w:pPr>
        <w:jc w:val="both"/>
        <w:rPr>
          <w:rFonts w:ascii="Bookman Old Style" w:hAnsi="Bookman Old Style"/>
        </w:rPr>
      </w:pPr>
      <w:r>
        <w:rPr>
          <w:rFonts w:ascii="Bookman Old Style" w:hAnsi="Bookman Old Style"/>
        </w:rPr>
        <w:t>Viene istituito</w:t>
      </w:r>
      <w:r w:rsidRPr="0080159B">
        <w:rPr>
          <w:rFonts w:ascii="Bookman Old Style" w:hAnsi="Bookman Old Style"/>
        </w:rPr>
        <w:t xml:space="preserve"> un Fondo nello stato di previsione del Ministero delle infrastrutture e dei trasporti</w:t>
      </w:r>
      <w:r>
        <w:rPr>
          <w:rFonts w:ascii="Bookman Old Style" w:hAnsi="Bookman Old Style"/>
        </w:rPr>
        <w:t xml:space="preserve"> </w:t>
      </w:r>
      <w:r w:rsidR="00C301A3">
        <w:rPr>
          <w:rFonts w:ascii="Bookman Old Style" w:hAnsi="Bookman Old Style"/>
        </w:rPr>
        <w:t xml:space="preserve">con una </w:t>
      </w:r>
      <w:r w:rsidR="00C301A3" w:rsidRPr="00C301A3">
        <w:rPr>
          <w:rFonts w:ascii="Bookman Old Style" w:hAnsi="Bookman Old Style"/>
          <w:b/>
        </w:rPr>
        <w:t>dotazione iniziale di 500 milioni di euro per l’anno 2020</w:t>
      </w:r>
      <w:r w:rsidR="00C301A3">
        <w:rPr>
          <w:rFonts w:ascii="Bookman Old Style" w:hAnsi="Bookman Old Style"/>
          <w:b/>
        </w:rPr>
        <w:t xml:space="preserve"> </w:t>
      </w:r>
      <w:r w:rsidRPr="0080159B">
        <w:rPr>
          <w:rFonts w:ascii="Bookman Old Style" w:hAnsi="Bookman Old Style"/>
        </w:rPr>
        <w:t xml:space="preserve">per sostenere le imprese del settore del trasporto pubblico di persone oggetto di obbligo di servizio pubblico (trasporto pubblico locale, trasporto ferroviario regionale e servizio ferroviario universale nazionale) che stanno subendo ingenti perdite a seguito della </w:t>
      </w:r>
      <w:r w:rsidRPr="0080159B">
        <w:rPr>
          <w:rFonts w:ascii="Bookman Old Style" w:hAnsi="Bookman Old Style"/>
        </w:rPr>
        <w:lastRenderedPageBreak/>
        <w:t xml:space="preserve">riduzione dei ricavi dalla vendita dei titoli di viaggio per gli effetti derivanti dall'emergenza COVID-19. </w:t>
      </w:r>
    </w:p>
    <w:p w:rsidR="0080159B" w:rsidRDefault="0080159B" w:rsidP="0080159B">
      <w:pPr>
        <w:jc w:val="both"/>
        <w:rPr>
          <w:rFonts w:ascii="Bookman Old Style" w:hAnsi="Bookman Old Style"/>
        </w:rPr>
      </w:pPr>
      <w:r w:rsidRPr="0080159B">
        <w:rPr>
          <w:rFonts w:ascii="Bookman Old Style" w:hAnsi="Bookman Old Style"/>
        </w:rPr>
        <w:t xml:space="preserve">Tale fondo è destinato a </w:t>
      </w:r>
      <w:r w:rsidRPr="007B1B9A">
        <w:rPr>
          <w:rFonts w:ascii="Bookman Old Style" w:hAnsi="Bookman Old Style"/>
          <w:b/>
        </w:rPr>
        <w:t>compensare la riduzione dei ricavi tariffari relativi ai passeggeri dal 23 febbraio 2020 al 31 dicembre 2020</w:t>
      </w:r>
      <w:r w:rsidRPr="0080159B">
        <w:rPr>
          <w:rFonts w:ascii="Bookman Old Style" w:hAnsi="Bookman Old Style"/>
        </w:rPr>
        <w:t xml:space="preserve"> rispetto alla media relativa al medesimo periodo del precedente biennio.</w:t>
      </w:r>
      <w:r w:rsidR="007B1B9A">
        <w:rPr>
          <w:rFonts w:ascii="Bookman Old Style" w:hAnsi="Bookman Old Style"/>
        </w:rPr>
        <w:t xml:space="preserve"> Inoltre, il Fondo è </w:t>
      </w:r>
      <w:r w:rsidR="007B1B9A" w:rsidRPr="007B1B9A">
        <w:rPr>
          <w:rFonts w:ascii="Bookman Old Style" w:hAnsi="Bookman Old Style"/>
          <w:b/>
        </w:rPr>
        <w:t>destinato</w:t>
      </w:r>
      <w:r w:rsidRPr="007B1B9A">
        <w:rPr>
          <w:rFonts w:ascii="Bookman Old Style" w:hAnsi="Bookman Old Style"/>
          <w:b/>
        </w:rPr>
        <w:t xml:space="preserve"> anche alla copertura degli oneri derivanti dal prolungamento della validità residua alla data di entrata in vigore delle misure di contenimento degli abbonamenti annuali</w:t>
      </w:r>
      <w:r w:rsidRPr="0080159B">
        <w:rPr>
          <w:rFonts w:ascii="Bookman Old Style" w:hAnsi="Bookman Old Style"/>
        </w:rPr>
        <w:t xml:space="preserve">, ordinari e integrati, a decorrere dal termine delle misure di contenimento. </w:t>
      </w:r>
    </w:p>
    <w:p w:rsidR="0080159B" w:rsidRDefault="007B1B9A" w:rsidP="0080159B">
      <w:pPr>
        <w:jc w:val="both"/>
        <w:rPr>
          <w:rFonts w:ascii="Bookman Old Style" w:hAnsi="Bookman Old Style"/>
        </w:rPr>
      </w:pPr>
      <w:r>
        <w:rPr>
          <w:rFonts w:ascii="Bookman Old Style" w:hAnsi="Bookman Old Style"/>
        </w:rPr>
        <w:t xml:space="preserve">Date </w:t>
      </w:r>
      <w:r w:rsidR="0080159B" w:rsidRPr="0080159B">
        <w:rPr>
          <w:rFonts w:ascii="Bookman Old Style" w:hAnsi="Bookman Old Style"/>
        </w:rPr>
        <w:t xml:space="preserve">le attuali difficoltà finanziarie delle regioni, degli enti locali e delle imprese esercenti i servizi che perdureranno anche nella fase successiva a quella emergenziale </w:t>
      </w:r>
      <w:r>
        <w:rPr>
          <w:rFonts w:ascii="Bookman Old Style" w:hAnsi="Bookman Old Style"/>
        </w:rPr>
        <w:t xml:space="preserve">non è possibile </w:t>
      </w:r>
      <w:r w:rsidR="0080159B" w:rsidRPr="0080159B">
        <w:rPr>
          <w:rFonts w:ascii="Bookman Old Style" w:hAnsi="Bookman Old Style"/>
        </w:rPr>
        <w:t xml:space="preserve">dare attuazione alla previsione di un cofinanziamento a loro carico nel rinnovo del parco autobus. Per evitare, quindi, il possibile blocco degli investimenti sono temporaneamente sospese le previsioni che stabiliscono l’obbligo di un cofinanziamento, condividendo le specifiche richieste della Conferenza delle Regioni e dell’ANCI. </w:t>
      </w:r>
    </w:p>
    <w:p w:rsidR="0080159B" w:rsidRPr="007B1B9A" w:rsidRDefault="0080159B" w:rsidP="0080159B">
      <w:pPr>
        <w:jc w:val="both"/>
        <w:rPr>
          <w:rFonts w:ascii="Bookman Old Style" w:hAnsi="Bookman Old Style"/>
          <w:b/>
        </w:rPr>
      </w:pPr>
      <w:r w:rsidRPr="0080159B">
        <w:rPr>
          <w:rFonts w:ascii="Bookman Old Style" w:hAnsi="Bookman Old Style"/>
        </w:rPr>
        <w:t xml:space="preserve">Per </w:t>
      </w:r>
      <w:r w:rsidR="007B1B9A">
        <w:rPr>
          <w:rFonts w:ascii="Bookman Old Style" w:hAnsi="Bookman Old Style"/>
        </w:rPr>
        <w:t xml:space="preserve">le stesse </w:t>
      </w:r>
      <w:r w:rsidRPr="0080159B">
        <w:rPr>
          <w:rFonts w:ascii="Bookman Old Style" w:hAnsi="Bookman Old Style"/>
        </w:rPr>
        <w:t xml:space="preserve">ragioni appare molto complesso attuare nel breve periodo il rinnovo del parco rotabile con modalità di alimentazione alternativa, che presuppongono rilevanti interventi di carattere infrastrutturale sul territorio. </w:t>
      </w:r>
      <w:r w:rsidRPr="007B1B9A">
        <w:rPr>
          <w:rFonts w:ascii="Bookman Old Style" w:hAnsi="Bookman Old Style"/>
          <w:b/>
        </w:rPr>
        <w:t xml:space="preserve">Pertanto si propone di sospendere le disposizioni sulle modalità di alimentazione alternativa al diesel per le risorse attribuite a diverso titolo con stanziamenti di competenza per il rinnovo del parco rotabile sino al 31 dicembre 2020, lasciando agli enti affidanti la scelta sulla modalità di rinnovo del parco rotabile più efficace nelle circostanze attuali. </w:t>
      </w:r>
    </w:p>
    <w:p w:rsidR="0080159B" w:rsidRDefault="0080159B" w:rsidP="0080159B">
      <w:pPr>
        <w:jc w:val="both"/>
        <w:rPr>
          <w:rFonts w:ascii="Bookman Old Style" w:hAnsi="Bookman Old Style"/>
        </w:rPr>
      </w:pPr>
      <w:r w:rsidRPr="0080159B">
        <w:rPr>
          <w:rFonts w:ascii="Bookman Old Style" w:hAnsi="Bookman Old Style"/>
        </w:rPr>
        <w:t xml:space="preserve">Inoltre, nella difficoltà di procedere nelle circostanze attuali a nuove procedure di acquisto, si consente alle amministrazioni ed alle aziende interessate di poter utilizzare la vigente convenzione Consip per l’acquisto del materiale rotabile (autobus 3) in scadenza al 1° agosto 2020 sino alla data del 31 marzo 2021, nonché di acquistare i mezzi anche in leasing. Infine, si propone di destinare fino al 31 dicembre 2021 una quota, nel limite massimo del 5%, delle risorse stanziate per il rinnovo dei parchi autobus e ferroviari utilizzati per il servizio di trasporto pubblico locale e regionale, all’attrezzaggio dei medesimi parchi necessario per limitare i rischi epidemiologici per i passeggeri e per il personale viaggiante. </w:t>
      </w:r>
    </w:p>
    <w:p w:rsidR="00E24B89" w:rsidRPr="00B9341E" w:rsidRDefault="00E24B89" w:rsidP="00E24B89">
      <w:pPr>
        <w:rPr>
          <w:rFonts w:ascii="Bookman Old Style" w:hAnsi="Bookman Old Style"/>
          <w:b/>
          <w:u w:val="single"/>
        </w:rPr>
      </w:pPr>
      <w:r>
        <w:rPr>
          <w:rFonts w:ascii="Bookman Old Style" w:hAnsi="Bookman Old Style"/>
          <w:b/>
          <w:u w:val="single"/>
        </w:rPr>
        <w:t>ISTRUZIONE</w:t>
      </w:r>
    </w:p>
    <w:p w:rsidR="00E24B89" w:rsidRPr="00925399" w:rsidRDefault="00E24B89" w:rsidP="00E24B89">
      <w:pPr>
        <w:pStyle w:val="Paragrafoelenco"/>
        <w:numPr>
          <w:ilvl w:val="0"/>
          <w:numId w:val="2"/>
        </w:numPr>
        <w:jc w:val="both"/>
        <w:rPr>
          <w:rFonts w:ascii="Bookman Old Style" w:hAnsi="Bookman Old Style"/>
          <w:b/>
        </w:rPr>
      </w:pPr>
      <w:r w:rsidRPr="00925399">
        <w:rPr>
          <w:rFonts w:ascii="Bookman Old Style" w:hAnsi="Bookman Old Style"/>
          <w:b/>
        </w:rPr>
        <w:t>Finanziamento dei centri estivi 2020 e contrasto alla povertà educativa (Art.112)</w:t>
      </w:r>
    </w:p>
    <w:p w:rsidR="00E24B89" w:rsidRDefault="00E24B89" w:rsidP="00E24B89">
      <w:pPr>
        <w:jc w:val="both"/>
        <w:rPr>
          <w:rFonts w:ascii="Bookman Old Style" w:hAnsi="Bookman Old Style"/>
        </w:rPr>
      </w:pPr>
      <w:r w:rsidRPr="00925399">
        <w:rPr>
          <w:rFonts w:ascii="Bookman Old Style" w:hAnsi="Bookman Old Style"/>
        </w:rPr>
        <w:t xml:space="preserve">Viene previsto per l’anno 2020, </w:t>
      </w:r>
      <w:r w:rsidRPr="00925399">
        <w:rPr>
          <w:rFonts w:ascii="Bookman Old Style" w:hAnsi="Bookman Old Style"/>
          <w:b/>
        </w:rPr>
        <w:t xml:space="preserve">un’integrazione del Fondo per le politiche della famiglia per un importo pari a 150 milioni di euro, affinché sia erogato ai Comuni per il potenziamento, anche in collaborazione con istituti privati, dei centri estivi diurni, dei servizi socioeducativi territoriali e dei centri con funzione educativa e ricreativa, durante il periodo estivo, per le bambine e i bambini di età compresa tra 3 e 14 anni. </w:t>
      </w:r>
      <w:r w:rsidRPr="00925399">
        <w:rPr>
          <w:rFonts w:ascii="Bookman Old Style" w:hAnsi="Bookman Old Style"/>
        </w:rPr>
        <w:t>Lo stanziamento è, altresì, finalizzato a contrastare la povertà educativa, mediante il finanziamento di progettualità miranti a questo scopo durante il periodo di emergenza e per quando sarà terminata e il lockdown gradualmente sospeso, al fine di recuperare il tempo perso in termini di offerta educativa e culturale.  Le modalità di ripartizione del suddetto fondo sono stabilite con decreto che ripartisce gli stanziamenti riservando la misura del 10 per cento per il finanziamento dei progetti volti a contrastare la povertà educativa e la restante quota al potenziamento dei centri estivi e dei servi socioeducativi. Il decreto indicato è adottato previa intesa in Conferenza Unificata.</w:t>
      </w:r>
    </w:p>
    <w:p w:rsidR="00E24B89" w:rsidRPr="00473ECF" w:rsidRDefault="00E24B89" w:rsidP="00E24B89">
      <w:pPr>
        <w:pStyle w:val="Paragrafoelenco"/>
        <w:numPr>
          <w:ilvl w:val="0"/>
          <w:numId w:val="2"/>
        </w:numPr>
        <w:jc w:val="both"/>
        <w:rPr>
          <w:rFonts w:ascii="Bookman Old Style" w:hAnsi="Bookman Old Style"/>
          <w:b/>
        </w:rPr>
      </w:pPr>
      <w:r w:rsidRPr="00473ECF">
        <w:rPr>
          <w:rFonts w:ascii="Bookman Old Style" w:hAnsi="Bookman Old Style"/>
          <w:b/>
        </w:rPr>
        <w:lastRenderedPageBreak/>
        <w:t xml:space="preserve">Misure di sostegno economico al sistema integrato da zero a sei anni </w:t>
      </w:r>
      <w:r>
        <w:rPr>
          <w:rFonts w:ascii="Bookman Old Style" w:hAnsi="Bookman Old Style"/>
          <w:b/>
        </w:rPr>
        <w:t>(</w:t>
      </w:r>
      <w:r w:rsidRPr="00473ECF">
        <w:rPr>
          <w:rFonts w:ascii="Bookman Old Style" w:hAnsi="Bookman Old Style"/>
          <w:b/>
        </w:rPr>
        <w:t>Art.224</w:t>
      </w:r>
      <w:r>
        <w:rPr>
          <w:rFonts w:ascii="Bookman Old Style" w:hAnsi="Bookman Old Style"/>
          <w:b/>
        </w:rPr>
        <w:t>)</w:t>
      </w:r>
    </w:p>
    <w:p w:rsidR="00E24B89" w:rsidRDefault="00E24B89" w:rsidP="00E24B89">
      <w:pPr>
        <w:jc w:val="both"/>
        <w:rPr>
          <w:rFonts w:ascii="Bookman Old Style" w:hAnsi="Bookman Old Style"/>
          <w:b/>
        </w:rPr>
      </w:pPr>
      <w:r w:rsidRPr="00473ECF">
        <w:rPr>
          <w:rFonts w:ascii="Bookman Old Style" w:hAnsi="Bookman Old Style"/>
          <w:b/>
        </w:rPr>
        <w:t>Si incrementa, per l’anno 2020, di 15 milioni di euro il fondo nazionale per il Sistema integrato di educazione e di istruzione</w:t>
      </w:r>
      <w:r w:rsidRPr="00D320A2">
        <w:rPr>
          <w:rFonts w:ascii="Bookman Old Style" w:hAnsi="Bookman Old Style"/>
        </w:rPr>
        <w:t>. Ai soggetti che g</w:t>
      </w:r>
      <w:r>
        <w:rPr>
          <w:rFonts w:ascii="Bookman Old Style" w:hAnsi="Bookman Old Style"/>
        </w:rPr>
        <w:t>e</w:t>
      </w:r>
      <w:r w:rsidRPr="00D320A2">
        <w:rPr>
          <w:rFonts w:ascii="Bookman Old Style" w:hAnsi="Bookman Old Style"/>
        </w:rPr>
        <w:t xml:space="preserve">stiscono in via continuativa i servizi educativi e alle istituzioni scolastiche dell'infanzia non statali </w:t>
      </w:r>
      <w:r>
        <w:rPr>
          <w:rFonts w:ascii="Bookman Old Style" w:hAnsi="Bookman Old Style"/>
        </w:rPr>
        <w:t>è</w:t>
      </w:r>
      <w:r w:rsidRPr="00D320A2">
        <w:rPr>
          <w:rFonts w:ascii="Bookman Old Style" w:hAnsi="Bookman Old Style"/>
        </w:rPr>
        <w:t xml:space="preserve"> inoltre previsto un contributo di 65 milioni di euro nell'anno 2020, a titolo di sostegno economico in relazione alla riduzione o al mancato versamento delle rette o delle compartecipazioni comunque denominate, da parte dei fruitori, determinato dalla sosp</w:t>
      </w:r>
      <w:r>
        <w:rPr>
          <w:rFonts w:ascii="Bookman Old Style" w:hAnsi="Bookman Old Style"/>
        </w:rPr>
        <w:t>ensione dei servizi in presenza.</w:t>
      </w:r>
    </w:p>
    <w:p w:rsidR="00E24B89" w:rsidRDefault="00E24B89" w:rsidP="00E24B89">
      <w:pPr>
        <w:jc w:val="both"/>
        <w:rPr>
          <w:rFonts w:ascii="Bookman Old Style" w:hAnsi="Bookman Old Style"/>
        </w:rPr>
      </w:pPr>
    </w:p>
    <w:p w:rsidR="00E24B89" w:rsidRDefault="00E24B89" w:rsidP="0080159B">
      <w:pPr>
        <w:jc w:val="both"/>
        <w:rPr>
          <w:rFonts w:ascii="Bookman Old Style" w:hAnsi="Bookman Old Style"/>
        </w:rPr>
      </w:pPr>
    </w:p>
    <w:p w:rsidR="00E24B89" w:rsidRPr="00E24B89" w:rsidRDefault="00E24B89" w:rsidP="0080159B">
      <w:pPr>
        <w:jc w:val="both"/>
        <w:rPr>
          <w:rFonts w:ascii="Bookman Old Style" w:hAnsi="Bookman Old Style"/>
          <w:b/>
          <w:bCs/>
          <w:color w:val="002060"/>
        </w:rPr>
      </w:pPr>
      <w:r w:rsidRPr="00E24B89">
        <w:rPr>
          <w:rFonts w:ascii="Bookman Old Style" w:hAnsi="Bookman Old Style"/>
          <w:b/>
          <w:bCs/>
          <w:color w:val="002060"/>
        </w:rPr>
        <w:t xml:space="preserve">RISORSE PER INVESTIMENTI </w:t>
      </w:r>
    </w:p>
    <w:p w:rsidR="0080159B" w:rsidRDefault="0080159B" w:rsidP="0080159B">
      <w:pPr>
        <w:rPr>
          <w:rFonts w:ascii="Bookman Old Style" w:hAnsi="Bookman Old Style"/>
          <w:b/>
        </w:rPr>
      </w:pPr>
      <w:r w:rsidRPr="0080159B">
        <w:rPr>
          <w:rFonts w:ascii="Bookman Old Style" w:hAnsi="Bookman Old Style"/>
          <w:b/>
        </w:rPr>
        <w:t xml:space="preserve"> </w:t>
      </w:r>
    </w:p>
    <w:p w:rsidR="00C301A3" w:rsidRPr="007E7064" w:rsidRDefault="00C301A3" w:rsidP="00C301A3">
      <w:pPr>
        <w:pStyle w:val="Paragrafoelenco"/>
        <w:numPr>
          <w:ilvl w:val="0"/>
          <w:numId w:val="2"/>
        </w:numPr>
        <w:rPr>
          <w:rFonts w:ascii="Bookman Old Style" w:hAnsi="Bookman Old Style"/>
          <w:b/>
        </w:rPr>
      </w:pPr>
      <w:r w:rsidRPr="007E7064">
        <w:rPr>
          <w:rFonts w:ascii="Bookman Old Style" w:hAnsi="Bookman Old Style"/>
          <w:b/>
        </w:rPr>
        <w:t>Attualizzazione di contributi pluriennali tra Ministero delle infrastrutture e dei trasporti e operazioni finanziarie per gli investimenti dei Comuni (Art</w:t>
      </w:r>
      <w:r>
        <w:rPr>
          <w:rFonts w:ascii="Bookman Old Style" w:hAnsi="Bookman Old Style"/>
          <w:b/>
        </w:rPr>
        <w:t>. 209 quinquies)</w:t>
      </w:r>
    </w:p>
    <w:p w:rsidR="00C301A3" w:rsidRPr="007E7064" w:rsidRDefault="00C301A3" w:rsidP="00C301A3">
      <w:pPr>
        <w:jc w:val="both"/>
        <w:rPr>
          <w:rFonts w:ascii="Bookman Old Style" w:hAnsi="Bookman Old Style"/>
        </w:rPr>
      </w:pPr>
      <w:r w:rsidRPr="007E7064">
        <w:rPr>
          <w:rFonts w:ascii="Bookman Old Style" w:hAnsi="Bookman Old Style"/>
        </w:rPr>
        <w:t>V</w:t>
      </w:r>
      <w:r w:rsidR="00F8102B">
        <w:rPr>
          <w:rFonts w:ascii="Bookman Old Style" w:hAnsi="Bookman Old Style"/>
        </w:rPr>
        <w:t xml:space="preserve">engono anticipate risorse previste dalla legge di bilancio </w:t>
      </w:r>
      <w:r w:rsidR="00E24B89">
        <w:rPr>
          <w:rFonts w:ascii="Bookman Old Style" w:hAnsi="Bookman Old Style"/>
        </w:rPr>
        <w:t xml:space="preserve">per il 2019 </w:t>
      </w:r>
      <w:r w:rsidR="00F8102B">
        <w:rPr>
          <w:rFonts w:ascii="Bookman Old Style" w:hAnsi="Bookman Old Style"/>
        </w:rPr>
        <w:t xml:space="preserve">a favore dei Comuni per spese di investimenti. Trattasi di circa potenzialmente 4 miliardi di euro  </w:t>
      </w:r>
      <w:r w:rsidR="00E24B89">
        <w:rPr>
          <w:rFonts w:ascii="Bookman Old Style" w:hAnsi="Bookman Old Style"/>
        </w:rPr>
        <w:t>per investimenti finalizzati allo s</w:t>
      </w:r>
      <w:r w:rsidRPr="007E7064">
        <w:rPr>
          <w:rFonts w:ascii="Bookman Old Style" w:hAnsi="Bookman Old Style"/>
        </w:rPr>
        <w:t xml:space="preserve">viluppo sostenibile e infrastrutturale del Paese, in particolare nei settori dell'edilizia pubblica, inclusi manutenzione e sicurezza ed efficientamento energetico, della manutenzione della rete viaria, del dissesto idrogeologico, della prevenzione del rischio sismico e della valorizzazione dei beni culturali e ambientali. </w:t>
      </w:r>
    </w:p>
    <w:p w:rsidR="00C871A8" w:rsidRDefault="00C871A8" w:rsidP="0080159B">
      <w:pPr>
        <w:rPr>
          <w:rFonts w:ascii="Bookman Old Style" w:hAnsi="Bookman Old Style"/>
          <w:b/>
        </w:rPr>
      </w:pPr>
    </w:p>
    <w:p w:rsidR="00AA6B2C" w:rsidRDefault="00061800" w:rsidP="00D12FE3">
      <w:pPr>
        <w:rPr>
          <w:rFonts w:ascii="Bookman Old Style" w:hAnsi="Bookman Old Style"/>
          <w:b/>
        </w:rPr>
      </w:pPr>
      <w:r>
        <w:rPr>
          <w:rFonts w:ascii="Bookman Old Style" w:hAnsi="Bookman Old Style"/>
          <w:b/>
        </w:rPr>
        <w:t>SUD</w:t>
      </w:r>
    </w:p>
    <w:p w:rsidR="00067AF2" w:rsidRPr="00067AF2" w:rsidRDefault="00067AF2" w:rsidP="00067AF2">
      <w:pPr>
        <w:pStyle w:val="Paragrafoelenco"/>
        <w:numPr>
          <w:ilvl w:val="0"/>
          <w:numId w:val="2"/>
        </w:numPr>
        <w:rPr>
          <w:rFonts w:ascii="Bookman Old Style" w:hAnsi="Bookman Old Style"/>
          <w:b/>
        </w:rPr>
      </w:pPr>
      <w:r w:rsidRPr="00067AF2">
        <w:rPr>
          <w:rFonts w:ascii="Bookman Old Style" w:hAnsi="Bookman Old Style"/>
          <w:b/>
        </w:rPr>
        <w:t xml:space="preserve">Incremento del Fondo di sostegno alle attività economiche nelle aree interne a seguito dell’emergenza Covid-19 </w:t>
      </w:r>
      <w:r w:rsidR="00D12FE3">
        <w:rPr>
          <w:rFonts w:ascii="Bookman Old Style" w:hAnsi="Bookman Old Style"/>
          <w:b/>
        </w:rPr>
        <w:t>(</w:t>
      </w:r>
      <w:r w:rsidR="00D12FE3" w:rsidRPr="00067AF2">
        <w:rPr>
          <w:rFonts w:ascii="Bookman Old Style" w:hAnsi="Bookman Old Style"/>
          <w:b/>
        </w:rPr>
        <w:t>Art.233</w:t>
      </w:r>
      <w:r w:rsidR="00D12FE3">
        <w:rPr>
          <w:rFonts w:ascii="Bookman Old Style" w:hAnsi="Bookman Old Style"/>
          <w:b/>
        </w:rPr>
        <w:t>)</w:t>
      </w:r>
    </w:p>
    <w:p w:rsidR="00496808" w:rsidRPr="00A4530F" w:rsidRDefault="006D5754" w:rsidP="00AA6B2C">
      <w:pPr>
        <w:jc w:val="both"/>
        <w:rPr>
          <w:rFonts w:ascii="Bookman Old Style" w:hAnsi="Bookman Old Style" w:cs="Segoe UI"/>
          <w:shd w:val="clear" w:color="auto" w:fill="FFFFFF"/>
        </w:rPr>
      </w:pPr>
      <w:r>
        <w:rPr>
          <w:rFonts w:ascii="Bookman Old Style" w:hAnsi="Bookman Old Style" w:cs="Segoe UI"/>
          <w:shd w:val="clear" w:color="auto" w:fill="FFFFFF"/>
        </w:rPr>
        <w:t>Vengono stanziati</w:t>
      </w:r>
      <w:r w:rsidRPr="00A4530F">
        <w:rPr>
          <w:rFonts w:ascii="Bookman Old Style" w:hAnsi="Bookman Old Style" w:cs="Segoe UI"/>
          <w:shd w:val="clear" w:color="auto" w:fill="FFFFFF"/>
        </w:rPr>
        <w:t xml:space="preserve"> </w:t>
      </w:r>
      <w:r w:rsidRPr="00E24B89">
        <w:rPr>
          <w:rFonts w:ascii="Bookman Old Style" w:hAnsi="Bookman Old Style" w:cs="Segoe UI"/>
          <w:b/>
          <w:bCs/>
          <w:shd w:val="clear" w:color="auto" w:fill="FFFFFF"/>
        </w:rPr>
        <w:t>60 milioni per il 2020</w:t>
      </w:r>
      <w:r w:rsidRPr="00A4530F">
        <w:rPr>
          <w:rFonts w:ascii="Bookman Old Style" w:hAnsi="Bookman Old Style" w:cs="Segoe UI"/>
          <w:shd w:val="clear" w:color="auto" w:fill="FFFFFF"/>
        </w:rPr>
        <w:t xml:space="preserve">, 30 </w:t>
      </w:r>
      <w:r>
        <w:rPr>
          <w:rFonts w:ascii="Bookman Old Style" w:hAnsi="Bookman Old Style" w:cs="Segoe UI"/>
          <w:shd w:val="clear" w:color="auto" w:fill="FFFFFF"/>
        </w:rPr>
        <w:t xml:space="preserve">milioni </w:t>
      </w:r>
      <w:r w:rsidRPr="00A4530F">
        <w:rPr>
          <w:rFonts w:ascii="Bookman Old Style" w:hAnsi="Bookman Old Style" w:cs="Segoe UI"/>
          <w:shd w:val="clear" w:color="auto" w:fill="FFFFFF"/>
        </w:rPr>
        <w:t xml:space="preserve">nel 2021 e 30 </w:t>
      </w:r>
      <w:r>
        <w:rPr>
          <w:rFonts w:ascii="Bookman Old Style" w:hAnsi="Bookman Old Style" w:cs="Segoe UI"/>
          <w:shd w:val="clear" w:color="auto" w:fill="FFFFFF"/>
        </w:rPr>
        <w:t xml:space="preserve">milioni </w:t>
      </w:r>
      <w:r w:rsidRPr="00A4530F">
        <w:rPr>
          <w:rFonts w:ascii="Bookman Old Style" w:hAnsi="Bookman Old Style" w:cs="Segoe UI"/>
          <w:shd w:val="clear" w:color="auto" w:fill="FFFFFF"/>
        </w:rPr>
        <w:t>nel 2022</w:t>
      </w:r>
      <w:r>
        <w:rPr>
          <w:rFonts w:ascii="Bookman Old Style" w:hAnsi="Bookman Old Style" w:cs="Segoe UI"/>
          <w:shd w:val="clear" w:color="auto" w:fill="FFFFFF"/>
        </w:rPr>
        <w:t xml:space="preserve"> per</w:t>
      </w:r>
      <w:r w:rsidR="00061800" w:rsidRPr="00A4530F">
        <w:rPr>
          <w:rFonts w:ascii="Bookman Old Style" w:hAnsi="Bookman Old Style" w:cs="Segoe UI"/>
          <w:shd w:val="clear" w:color="auto" w:fill="FFFFFF"/>
        </w:rPr>
        <w:t xml:space="preserve"> consentire ai C</w:t>
      </w:r>
      <w:r w:rsidR="00AA6B2C" w:rsidRPr="00A4530F">
        <w:rPr>
          <w:rFonts w:ascii="Bookman Old Style" w:hAnsi="Bookman Old Style" w:cs="Segoe UI"/>
          <w:shd w:val="clear" w:color="auto" w:fill="FFFFFF"/>
        </w:rPr>
        <w:t>omuni delle aree interne di sostenere le attività artigianali e commercia</w:t>
      </w:r>
      <w:r w:rsidR="0081321B" w:rsidRPr="00A4530F">
        <w:rPr>
          <w:rFonts w:ascii="Bookman Old Style" w:hAnsi="Bookman Old Style" w:cs="Segoe UI"/>
          <w:shd w:val="clear" w:color="auto" w:fill="FFFFFF"/>
        </w:rPr>
        <w:t>l</w:t>
      </w:r>
      <w:r w:rsidR="00AA6B2C" w:rsidRPr="00A4530F">
        <w:rPr>
          <w:rFonts w:ascii="Bookman Old Style" w:hAnsi="Bookman Old Style" w:cs="Segoe UI"/>
          <w:shd w:val="clear" w:color="auto" w:fill="FFFFFF"/>
        </w:rPr>
        <w:t>i messe in crisi dall' emergenza Covid</w:t>
      </w:r>
      <w:r w:rsidR="00A4530F">
        <w:rPr>
          <w:rFonts w:ascii="Bookman Old Style" w:hAnsi="Bookman Old Style" w:cs="Segoe UI"/>
          <w:shd w:val="clear" w:color="auto" w:fill="FFFFFF"/>
        </w:rPr>
        <w:t>-19</w:t>
      </w:r>
      <w:r w:rsidR="00AA6B2C" w:rsidRPr="00A4530F">
        <w:rPr>
          <w:rFonts w:ascii="Bookman Old Style" w:hAnsi="Bookman Old Style" w:cs="Segoe UI"/>
          <w:shd w:val="clear" w:color="auto" w:fill="FFFFFF"/>
        </w:rPr>
        <w:t xml:space="preserve">, </w:t>
      </w:r>
    </w:p>
    <w:p w:rsidR="00D12FE3" w:rsidRDefault="00D12FE3" w:rsidP="00D12FE3">
      <w:pPr>
        <w:rPr>
          <w:rFonts w:ascii="Bookman Old Style" w:hAnsi="Bookman Old Style"/>
          <w:b/>
        </w:rPr>
      </w:pPr>
    </w:p>
    <w:p w:rsidR="00473ECF" w:rsidRPr="00473ECF" w:rsidRDefault="00473ECF" w:rsidP="00473ECF">
      <w:pPr>
        <w:pStyle w:val="Paragrafoelenco"/>
        <w:numPr>
          <w:ilvl w:val="0"/>
          <w:numId w:val="2"/>
        </w:numPr>
        <w:rPr>
          <w:rFonts w:ascii="Bookman Old Style" w:hAnsi="Bookman Old Style"/>
          <w:b/>
        </w:rPr>
      </w:pPr>
      <w:r w:rsidRPr="00473ECF">
        <w:rPr>
          <w:rFonts w:ascii="Bookman Old Style" w:hAnsi="Bookman Old Style"/>
          <w:b/>
        </w:rPr>
        <w:t>Misure per sicurezza e protezione nelle istituzioni scolastiche statali e per lo svolgimento in condizioni di sicurezza dell’anno scolastico 2020/2021 (Art. 222)</w:t>
      </w:r>
    </w:p>
    <w:p w:rsidR="00473ECF" w:rsidRDefault="00473ECF" w:rsidP="00473ECF">
      <w:pPr>
        <w:jc w:val="both"/>
        <w:rPr>
          <w:rFonts w:ascii="Bookman Old Style" w:hAnsi="Bookman Old Style"/>
        </w:rPr>
      </w:pPr>
      <w:r w:rsidRPr="00473ECF">
        <w:rPr>
          <w:rFonts w:ascii="Bookman Old Style" w:hAnsi="Bookman Old Style"/>
          <w:b/>
        </w:rPr>
        <w:t>Viene incrementato il fondo per il funzionamento delle istituzioni scolastiche di 331 milioni di euro per il 2020 per sostenere e contribuire alla ripresa dell’attività scolastica in presenza in condizioni di sicurezza</w:t>
      </w:r>
      <w:r>
        <w:rPr>
          <w:rFonts w:ascii="Bookman Old Style" w:hAnsi="Bookman Old Style"/>
        </w:rPr>
        <w:t xml:space="preserve">. L’assegnazione delle risorse avviene entro 10 giorni dall’entrata in vigore della norma ed </w:t>
      </w:r>
      <w:r w:rsidRPr="008872E6">
        <w:rPr>
          <w:rFonts w:ascii="Bookman Old Style" w:hAnsi="Bookman Old Style"/>
        </w:rPr>
        <w:t>entro il 30 settembre 2020 le istituzioni scolastiche devono provvedere alla realizzazione degli interventi o al completamento delle procedure di affidamento degli interventi</w:t>
      </w:r>
      <w:r>
        <w:rPr>
          <w:rFonts w:ascii="Bookman Old Style" w:hAnsi="Bookman Old Style"/>
        </w:rPr>
        <w:t xml:space="preserve">. Inoltre si prevede </w:t>
      </w:r>
      <w:r w:rsidRPr="00755E3E">
        <w:rPr>
          <w:rFonts w:ascii="Bookman Old Style" w:hAnsi="Bookman Old Style"/>
        </w:rPr>
        <w:t>lo stanziamento di 39,2 milioni di euro per assicurare alle istituzioni scolastiche statali e paritarie, nell’ambito delle attività in presenza connesse all’espletamento dell’esame di stato per l’anno scolastico 2019/2020, di effettuare interventi di pulizia degli edifici.</w:t>
      </w:r>
    </w:p>
    <w:p w:rsidR="00473ECF" w:rsidRPr="00473ECF" w:rsidRDefault="00473ECF" w:rsidP="00473ECF">
      <w:pPr>
        <w:pStyle w:val="Paragrafoelenco"/>
        <w:numPr>
          <w:ilvl w:val="0"/>
          <w:numId w:val="2"/>
        </w:numPr>
        <w:jc w:val="both"/>
        <w:rPr>
          <w:rFonts w:ascii="Bookman Old Style" w:hAnsi="Bookman Old Style"/>
          <w:b/>
        </w:rPr>
      </w:pPr>
      <w:r w:rsidRPr="00473ECF">
        <w:rPr>
          <w:rFonts w:ascii="Bookman Old Style" w:hAnsi="Bookman Old Style"/>
          <w:b/>
        </w:rPr>
        <w:lastRenderedPageBreak/>
        <w:t>Edilizia scolastica (Art. 223)</w:t>
      </w:r>
    </w:p>
    <w:p w:rsidR="00473ECF" w:rsidRDefault="00473ECF" w:rsidP="00473ECF">
      <w:pPr>
        <w:jc w:val="both"/>
        <w:rPr>
          <w:rFonts w:ascii="Bookman Old Style" w:hAnsi="Bookman Old Style"/>
        </w:rPr>
      </w:pPr>
      <w:r w:rsidRPr="00755E3E">
        <w:rPr>
          <w:rFonts w:ascii="Bookman Old Style" w:hAnsi="Bookman Old Style"/>
        </w:rPr>
        <w:t>Si intende semplificare le procedure di approvazione e di autorizzazione dei mutui BEI a valere sulla programmazione triennale nazionale</w:t>
      </w:r>
      <w:r>
        <w:rPr>
          <w:rFonts w:ascii="Bookman Old Style" w:hAnsi="Bookman Old Style"/>
        </w:rPr>
        <w:t xml:space="preserve"> </w:t>
      </w:r>
      <w:r w:rsidRPr="00755E3E">
        <w:rPr>
          <w:rFonts w:ascii="Bookman Old Style" w:hAnsi="Bookman Old Style"/>
        </w:rPr>
        <w:t xml:space="preserve">per garantire in questa delicata fase emergenziale la liquidità necessaria sia agli enti locali sia alle imprese. Infatti si dispone che tutte le eventuali variazioni ai singoli interventi siano disposte, invece che con decreto interministeriale, con il solo decreto del Ministro dell’istruzione, sentito il Ministero dell’economia e delle finanze per eventuali profili di carattere finanziario. </w:t>
      </w:r>
      <w:r>
        <w:rPr>
          <w:rFonts w:ascii="Bookman Old Style" w:hAnsi="Bookman Old Style"/>
        </w:rPr>
        <w:t xml:space="preserve">Inoltre si intende </w:t>
      </w:r>
      <w:r w:rsidRPr="00755E3E">
        <w:rPr>
          <w:rFonts w:ascii="Bookman Old Style" w:hAnsi="Bookman Old Style"/>
        </w:rPr>
        <w:t>semplifica</w:t>
      </w:r>
      <w:r>
        <w:rPr>
          <w:rFonts w:ascii="Bookman Old Style" w:hAnsi="Bookman Old Style"/>
        </w:rPr>
        <w:t>re</w:t>
      </w:r>
      <w:r w:rsidRPr="00755E3E">
        <w:rPr>
          <w:rFonts w:ascii="Bookman Old Style" w:hAnsi="Bookman Old Style"/>
        </w:rPr>
        <w:t xml:space="preserve"> la procedura d</w:t>
      </w:r>
      <w:r>
        <w:rPr>
          <w:rFonts w:ascii="Bookman Old Style" w:hAnsi="Bookman Old Style"/>
        </w:rPr>
        <w:t>elle</w:t>
      </w:r>
      <w:r w:rsidRPr="00755E3E">
        <w:rPr>
          <w:rFonts w:ascii="Bookman Old Style" w:hAnsi="Bookman Old Style"/>
        </w:rPr>
        <w:t xml:space="preserve"> scuole innovative</w:t>
      </w:r>
      <w:r>
        <w:rPr>
          <w:rFonts w:ascii="Bookman Old Style" w:hAnsi="Bookman Old Style"/>
        </w:rPr>
        <w:t xml:space="preserve"> e</w:t>
      </w:r>
      <w:r w:rsidRPr="00755E3E">
        <w:rPr>
          <w:rFonts w:ascii="Bookman Old Style" w:hAnsi="Bookman Old Style"/>
        </w:rPr>
        <w:t xml:space="preserve"> </w:t>
      </w:r>
      <w:r>
        <w:rPr>
          <w:rFonts w:ascii="Bookman Old Style" w:hAnsi="Bookman Old Style"/>
        </w:rPr>
        <w:t>la procedura</w:t>
      </w:r>
      <w:r w:rsidRPr="00755E3E">
        <w:rPr>
          <w:rFonts w:ascii="Bookman Old Style" w:hAnsi="Bookman Old Style"/>
        </w:rPr>
        <w:t xml:space="preserve"> per consentire l’immediata conclusione dell</w:t>
      </w:r>
      <w:r>
        <w:rPr>
          <w:rFonts w:ascii="Bookman Old Style" w:hAnsi="Bookman Old Style"/>
        </w:rPr>
        <w:t>’</w:t>
      </w:r>
      <w:r w:rsidRPr="00755E3E">
        <w:rPr>
          <w:rFonts w:ascii="Bookman Old Style" w:hAnsi="Bookman Old Style"/>
        </w:rPr>
        <w:t xml:space="preserve">adozione degli atti e dei decreti </w:t>
      </w:r>
      <w:r>
        <w:rPr>
          <w:rFonts w:ascii="Bookman Old Style" w:hAnsi="Bookman Old Style"/>
        </w:rPr>
        <w:t xml:space="preserve">di </w:t>
      </w:r>
      <w:r w:rsidRPr="00755E3E">
        <w:rPr>
          <w:rFonts w:ascii="Bookman Old Style" w:hAnsi="Bookman Old Style"/>
        </w:rPr>
        <w:t xml:space="preserve">assegnazione delle risorse in materia di edilizia scolastica. </w:t>
      </w:r>
    </w:p>
    <w:sectPr w:rsidR="00473ECF" w:rsidSect="005C597E">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E48" w:rsidRDefault="004E1E48" w:rsidP="00D15798">
      <w:pPr>
        <w:spacing w:after="0" w:line="240" w:lineRule="auto"/>
      </w:pPr>
      <w:r>
        <w:separator/>
      </w:r>
    </w:p>
  </w:endnote>
  <w:endnote w:type="continuationSeparator" w:id="0">
    <w:p w:rsidR="004E1E48" w:rsidRDefault="004E1E48" w:rsidP="00D15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729503"/>
      <w:docPartObj>
        <w:docPartGallery w:val="Page Numbers (Bottom of Page)"/>
        <w:docPartUnique/>
      </w:docPartObj>
    </w:sdtPr>
    <w:sdtContent>
      <w:p w:rsidR="0067480F" w:rsidRDefault="005C597E">
        <w:pPr>
          <w:pStyle w:val="Pidipagina"/>
          <w:jc w:val="center"/>
        </w:pPr>
        <w:r>
          <w:fldChar w:fldCharType="begin"/>
        </w:r>
        <w:r w:rsidR="0067480F">
          <w:instrText>PAGE   \* MERGEFORMAT</w:instrText>
        </w:r>
        <w:r>
          <w:fldChar w:fldCharType="separate"/>
        </w:r>
        <w:r w:rsidR="00B3682A">
          <w:rPr>
            <w:noProof/>
          </w:rPr>
          <w:t>8</w:t>
        </w:r>
        <w:r>
          <w:fldChar w:fldCharType="end"/>
        </w:r>
      </w:p>
    </w:sdtContent>
  </w:sdt>
  <w:p w:rsidR="00D15798" w:rsidRDefault="00D1579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E48" w:rsidRDefault="004E1E48" w:rsidP="00D15798">
      <w:pPr>
        <w:spacing w:after="0" w:line="240" w:lineRule="auto"/>
      </w:pPr>
      <w:r>
        <w:separator/>
      </w:r>
    </w:p>
  </w:footnote>
  <w:footnote w:type="continuationSeparator" w:id="0">
    <w:p w:rsidR="004E1E48" w:rsidRDefault="004E1E48" w:rsidP="00D157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A0B5B"/>
    <w:multiLevelType w:val="hybridMultilevel"/>
    <w:tmpl w:val="5F8CF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05E5A77"/>
    <w:multiLevelType w:val="hybridMultilevel"/>
    <w:tmpl w:val="A9B652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14210CA"/>
    <w:multiLevelType w:val="hybridMultilevel"/>
    <w:tmpl w:val="4A40C6B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8A41CEF"/>
    <w:multiLevelType w:val="hybridMultilevel"/>
    <w:tmpl w:val="069E3B0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1"/>
  <w:defaultTabStop w:val="708"/>
  <w:hyphenationZone w:val="283"/>
  <w:characterSpacingControl w:val="doNotCompress"/>
  <w:footnotePr>
    <w:footnote w:id="-1"/>
    <w:footnote w:id="0"/>
  </w:footnotePr>
  <w:endnotePr>
    <w:endnote w:id="-1"/>
    <w:endnote w:id="0"/>
  </w:endnotePr>
  <w:compat/>
  <w:rsids>
    <w:rsidRoot w:val="00BB1427"/>
    <w:rsid w:val="000057DD"/>
    <w:rsid w:val="0000699A"/>
    <w:rsid w:val="00015B14"/>
    <w:rsid w:val="0002335A"/>
    <w:rsid w:val="00026698"/>
    <w:rsid w:val="00027108"/>
    <w:rsid w:val="00027866"/>
    <w:rsid w:val="00036253"/>
    <w:rsid w:val="00043E89"/>
    <w:rsid w:val="000478E8"/>
    <w:rsid w:val="00053A78"/>
    <w:rsid w:val="00054F2B"/>
    <w:rsid w:val="0005720D"/>
    <w:rsid w:val="000613B5"/>
    <w:rsid w:val="00061800"/>
    <w:rsid w:val="000628C7"/>
    <w:rsid w:val="00065EC9"/>
    <w:rsid w:val="00067AF2"/>
    <w:rsid w:val="000736BD"/>
    <w:rsid w:val="00076DB8"/>
    <w:rsid w:val="00085BB8"/>
    <w:rsid w:val="0009408A"/>
    <w:rsid w:val="000B2359"/>
    <w:rsid w:val="000D00C4"/>
    <w:rsid w:val="000D5DB5"/>
    <w:rsid w:val="000E4643"/>
    <w:rsid w:val="000E6705"/>
    <w:rsid w:val="000E6AC8"/>
    <w:rsid w:val="000F0B3C"/>
    <w:rsid w:val="000F629C"/>
    <w:rsid w:val="00106587"/>
    <w:rsid w:val="0011042F"/>
    <w:rsid w:val="0011173F"/>
    <w:rsid w:val="00114EDF"/>
    <w:rsid w:val="00121145"/>
    <w:rsid w:val="0012733A"/>
    <w:rsid w:val="00132610"/>
    <w:rsid w:val="00150A89"/>
    <w:rsid w:val="00152CF0"/>
    <w:rsid w:val="00157F03"/>
    <w:rsid w:val="0016004B"/>
    <w:rsid w:val="0016194D"/>
    <w:rsid w:val="00175D61"/>
    <w:rsid w:val="00180381"/>
    <w:rsid w:val="001854F7"/>
    <w:rsid w:val="001A1302"/>
    <w:rsid w:val="001A2684"/>
    <w:rsid w:val="001A4BFC"/>
    <w:rsid w:val="001B3ADA"/>
    <w:rsid w:val="001B551F"/>
    <w:rsid w:val="001B5E80"/>
    <w:rsid w:val="001C0692"/>
    <w:rsid w:val="001C1B9A"/>
    <w:rsid w:val="001C3751"/>
    <w:rsid w:val="001C4151"/>
    <w:rsid w:val="001C5EAE"/>
    <w:rsid w:val="001C7EE9"/>
    <w:rsid w:val="001F5A5D"/>
    <w:rsid w:val="0020574C"/>
    <w:rsid w:val="00206917"/>
    <w:rsid w:val="00216346"/>
    <w:rsid w:val="0024383D"/>
    <w:rsid w:val="00255253"/>
    <w:rsid w:val="0026611D"/>
    <w:rsid w:val="00267E67"/>
    <w:rsid w:val="00271A9A"/>
    <w:rsid w:val="002766B4"/>
    <w:rsid w:val="0028505E"/>
    <w:rsid w:val="00294139"/>
    <w:rsid w:val="00295E2C"/>
    <w:rsid w:val="002A418C"/>
    <w:rsid w:val="002A4538"/>
    <w:rsid w:val="002A54EF"/>
    <w:rsid w:val="002C48F3"/>
    <w:rsid w:val="002C63D4"/>
    <w:rsid w:val="002D003F"/>
    <w:rsid w:val="002D16DB"/>
    <w:rsid w:val="002F7CDC"/>
    <w:rsid w:val="00307178"/>
    <w:rsid w:val="00312B7D"/>
    <w:rsid w:val="003209F3"/>
    <w:rsid w:val="00325854"/>
    <w:rsid w:val="00332EA7"/>
    <w:rsid w:val="00334AE7"/>
    <w:rsid w:val="0033559B"/>
    <w:rsid w:val="00337E48"/>
    <w:rsid w:val="0034723D"/>
    <w:rsid w:val="00353F43"/>
    <w:rsid w:val="00356AC4"/>
    <w:rsid w:val="003606E5"/>
    <w:rsid w:val="00365D4F"/>
    <w:rsid w:val="00366A65"/>
    <w:rsid w:val="00374BD2"/>
    <w:rsid w:val="003A2779"/>
    <w:rsid w:val="003A47CB"/>
    <w:rsid w:val="003B7CD2"/>
    <w:rsid w:val="003C7197"/>
    <w:rsid w:val="003D11D5"/>
    <w:rsid w:val="003E6FE7"/>
    <w:rsid w:val="003F58ED"/>
    <w:rsid w:val="003F5B56"/>
    <w:rsid w:val="003F6108"/>
    <w:rsid w:val="003F6E38"/>
    <w:rsid w:val="00401997"/>
    <w:rsid w:val="00413D46"/>
    <w:rsid w:val="00420EE0"/>
    <w:rsid w:val="00426637"/>
    <w:rsid w:val="00430484"/>
    <w:rsid w:val="004406B7"/>
    <w:rsid w:val="00440C87"/>
    <w:rsid w:val="004546C2"/>
    <w:rsid w:val="004623E3"/>
    <w:rsid w:val="0046792C"/>
    <w:rsid w:val="00473831"/>
    <w:rsid w:val="00473ECF"/>
    <w:rsid w:val="00496808"/>
    <w:rsid w:val="004A5B58"/>
    <w:rsid w:val="004B2BDE"/>
    <w:rsid w:val="004B4C71"/>
    <w:rsid w:val="004B6D3E"/>
    <w:rsid w:val="004B756D"/>
    <w:rsid w:val="004D3C54"/>
    <w:rsid w:val="004D7988"/>
    <w:rsid w:val="004E1E48"/>
    <w:rsid w:val="004F2315"/>
    <w:rsid w:val="004F4B82"/>
    <w:rsid w:val="00520ED2"/>
    <w:rsid w:val="00531EC6"/>
    <w:rsid w:val="00540666"/>
    <w:rsid w:val="00541988"/>
    <w:rsid w:val="00544E1F"/>
    <w:rsid w:val="0054711D"/>
    <w:rsid w:val="0055478C"/>
    <w:rsid w:val="00561CC5"/>
    <w:rsid w:val="005664D7"/>
    <w:rsid w:val="00570D5B"/>
    <w:rsid w:val="0057446B"/>
    <w:rsid w:val="00576211"/>
    <w:rsid w:val="00596D53"/>
    <w:rsid w:val="005B5351"/>
    <w:rsid w:val="005B57C4"/>
    <w:rsid w:val="005B6172"/>
    <w:rsid w:val="005C5032"/>
    <w:rsid w:val="005C597E"/>
    <w:rsid w:val="005C658D"/>
    <w:rsid w:val="005C737E"/>
    <w:rsid w:val="005E0B11"/>
    <w:rsid w:val="005E4B10"/>
    <w:rsid w:val="005E7258"/>
    <w:rsid w:val="005E732C"/>
    <w:rsid w:val="00605481"/>
    <w:rsid w:val="00620EF4"/>
    <w:rsid w:val="006460C0"/>
    <w:rsid w:val="00653285"/>
    <w:rsid w:val="00660BB4"/>
    <w:rsid w:val="00662B21"/>
    <w:rsid w:val="006646EC"/>
    <w:rsid w:val="006672E0"/>
    <w:rsid w:val="0067480F"/>
    <w:rsid w:val="00681451"/>
    <w:rsid w:val="0068653B"/>
    <w:rsid w:val="00690785"/>
    <w:rsid w:val="006A4243"/>
    <w:rsid w:val="006A5A53"/>
    <w:rsid w:val="006B2EFF"/>
    <w:rsid w:val="006B45B4"/>
    <w:rsid w:val="006D2C03"/>
    <w:rsid w:val="006D5754"/>
    <w:rsid w:val="006D6793"/>
    <w:rsid w:val="006E7360"/>
    <w:rsid w:val="006F467E"/>
    <w:rsid w:val="006F537B"/>
    <w:rsid w:val="006F6487"/>
    <w:rsid w:val="006F69A3"/>
    <w:rsid w:val="00704C90"/>
    <w:rsid w:val="00704E28"/>
    <w:rsid w:val="007329C9"/>
    <w:rsid w:val="00736CAC"/>
    <w:rsid w:val="007448AE"/>
    <w:rsid w:val="00745028"/>
    <w:rsid w:val="007645B5"/>
    <w:rsid w:val="007708C4"/>
    <w:rsid w:val="007717DE"/>
    <w:rsid w:val="007775A4"/>
    <w:rsid w:val="0078275D"/>
    <w:rsid w:val="00783E7E"/>
    <w:rsid w:val="0078520A"/>
    <w:rsid w:val="007918B1"/>
    <w:rsid w:val="00795C7B"/>
    <w:rsid w:val="007A50A2"/>
    <w:rsid w:val="007B00D9"/>
    <w:rsid w:val="007B1B9A"/>
    <w:rsid w:val="007B239A"/>
    <w:rsid w:val="007B3A64"/>
    <w:rsid w:val="007D1B76"/>
    <w:rsid w:val="007E7064"/>
    <w:rsid w:val="007F3266"/>
    <w:rsid w:val="007F534B"/>
    <w:rsid w:val="007F605C"/>
    <w:rsid w:val="0080159B"/>
    <w:rsid w:val="00801606"/>
    <w:rsid w:val="008100DE"/>
    <w:rsid w:val="008128AB"/>
    <w:rsid w:val="0081321B"/>
    <w:rsid w:val="0082059F"/>
    <w:rsid w:val="00821AA7"/>
    <w:rsid w:val="008240BC"/>
    <w:rsid w:val="0082520D"/>
    <w:rsid w:val="00826A4C"/>
    <w:rsid w:val="0083434F"/>
    <w:rsid w:val="0084712E"/>
    <w:rsid w:val="008560AE"/>
    <w:rsid w:val="00861EB6"/>
    <w:rsid w:val="008741FA"/>
    <w:rsid w:val="00884B51"/>
    <w:rsid w:val="00890439"/>
    <w:rsid w:val="008905FB"/>
    <w:rsid w:val="00891E99"/>
    <w:rsid w:val="008C020F"/>
    <w:rsid w:val="008C6B16"/>
    <w:rsid w:val="008C7065"/>
    <w:rsid w:val="008E5BFE"/>
    <w:rsid w:val="008F7544"/>
    <w:rsid w:val="008F7A18"/>
    <w:rsid w:val="0090146C"/>
    <w:rsid w:val="0091253B"/>
    <w:rsid w:val="009140D2"/>
    <w:rsid w:val="00915AE9"/>
    <w:rsid w:val="00916050"/>
    <w:rsid w:val="009236DD"/>
    <w:rsid w:val="00925399"/>
    <w:rsid w:val="009342AC"/>
    <w:rsid w:val="00937513"/>
    <w:rsid w:val="00940287"/>
    <w:rsid w:val="00941364"/>
    <w:rsid w:val="00942B60"/>
    <w:rsid w:val="00954A26"/>
    <w:rsid w:val="00956904"/>
    <w:rsid w:val="00956B20"/>
    <w:rsid w:val="00971258"/>
    <w:rsid w:val="009806F0"/>
    <w:rsid w:val="009864F6"/>
    <w:rsid w:val="009A2A09"/>
    <w:rsid w:val="009A764E"/>
    <w:rsid w:val="009B6604"/>
    <w:rsid w:val="009D3F83"/>
    <w:rsid w:val="009D7102"/>
    <w:rsid w:val="009E1DFD"/>
    <w:rsid w:val="009E3350"/>
    <w:rsid w:val="009F0689"/>
    <w:rsid w:val="009F7EF1"/>
    <w:rsid w:val="00A01711"/>
    <w:rsid w:val="00A01CAB"/>
    <w:rsid w:val="00A036C1"/>
    <w:rsid w:val="00A03E27"/>
    <w:rsid w:val="00A074F1"/>
    <w:rsid w:val="00A13F5A"/>
    <w:rsid w:val="00A1561B"/>
    <w:rsid w:val="00A23C38"/>
    <w:rsid w:val="00A27339"/>
    <w:rsid w:val="00A400EF"/>
    <w:rsid w:val="00A43EFC"/>
    <w:rsid w:val="00A4530F"/>
    <w:rsid w:val="00A4613A"/>
    <w:rsid w:val="00A61C83"/>
    <w:rsid w:val="00A71066"/>
    <w:rsid w:val="00A85CE1"/>
    <w:rsid w:val="00A92942"/>
    <w:rsid w:val="00AA5115"/>
    <w:rsid w:val="00AA6B2C"/>
    <w:rsid w:val="00AA7CD8"/>
    <w:rsid w:val="00AA7DE7"/>
    <w:rsid w:val="00AB3151"/>
    <w:rsid w:val="00AC0591"/>
    <w:rsid w:val="00AC1AD2"/>
    <w:rsid w:val="00AC37D8"/>
    <w:rsid w:val="00AD0C36"/>
    <w:rsid w:val="00AD4ABF"/>
    <w:rsid w:val="00AF2704"/>
    <w:rsid w:val="00AF6F01"/>
    <w:rsid w:val="00B0231A"/>
    <w:rsid w:val="00B06C5C"/>
    <w:rsid w:val="00B072EE"/>
    <w:rsid w:val="00B12536"/>
    <w:rsid w:val="00B12CB4"/>
    <w:rsid w:val="00B20F8F"/>
    <w:rsid w:val="00B2353A"/>
    <w:rsid w:val="00B23E50"/>
    <w:rsid w:val="00B33B98"/>
    <w:rsid w:val="00B344E7"/>
    <w:rsid w:val="00B3682A"/>
    <w:rsid w:val="00B435C7"/>
    <w:rsid w:val="00B44797"/>
    <w:rsid w:val="00B4732C"/>
    <w:rsid w:val="00B550E9"/>
    <w:rsid w:val="00B65C19"/>
    <w:rsid w:val="00B7727B"/>
    <w:rsid w:val="00B9341E"/>
    <w:rsid w:val="00BB0528"/>
    <w:rsid w:val="00BB0E22"/>
    <w:rsid w:val="00BB1427"/>
    <w:rsid w:val="00BB7B1A"/>
    <w:rsid w:val="00BC26E7"/>
    <w:rsid w:val="00BD0872"/>
    <w:rsid w:val="00BD3239"/>
    <w:rsid w:val="00BF5E0D"/>
    <w:rsid w:val="00C06F9F"/>
    <w:rsid w:val="00C12918"/>
    <w:rsid w:val="00C12B6D"/>
    <w:rsid w:val="00C301A3"/>
    <w:rsid w:val="00C3342F"/>
    <w:rsid w:val="00C42417"/>
    <w:rsid w:val="00C4540F"/>
    <w:rsid w:val="00C66BD7"/>
    <w:rsid w:val="00C74A52"/>
    <w:rsid w:val="00C8447A"/>
    <w:rsid w:val="00C85887"/>
    <w:rsid w:val="00C8671E"/>
    <w:rsid w:val="00C86D27"/>
    <w:rsid w:val="00C871A8"/>
    <w:rsid w:val="00CA090A"/>
    <w:rsid w:val="00CA5F91"/>
    <w:rsid w:val="00CB4BB8"/>
    <w:rsid w:val="00CB52F9"/>
    <w:rsid w:val="00CB562F"/>
    <w:rsid w:val="00CB5943"/>
    <w:rsid w:val="00CC391E"/>
    <w:rsid w:val="00CF0667"/>
    <w:rsid w:val="00CF266B"/>
    <w:rsid w:val="00CF537C"/>
    <w:rsid w:val="00CF71C8"/>
    <w:rsid w:val="00D02DA5"/>
    <w:rsid w:val="00D0369E"/>
    <w:rsid w:val="00D10284"/>
    <w:rsid w:val="00D12FE3"/>
    <w:rsid w:val="00D13B4D"/>
    <w:rsid w:val="00D1507A"/>
    <w:rsid w:val="00D15798"/>
    <w:rsid w:val="00D277A3"/>
    <w:rsid w:val="00D307AD"/>
    <w:rsid w:val="00D34191"/>
    <w:rsid w:val="00D52A13"/>
    <w:rsid w:val="00D601A1"/>
    <w:rsid w:val="00D700E7"/>
    <w:rsid w:val="00D725CB"/>
    <w:rsid w:val="00D76234"/>
    <w:rsid w:val="00D94A64"/>
    <w:rsid w:val="00DA59F9"/>
    <w:rsid w:val="00DB65F4"/>
    <w:rsid w:val="00DB74FB"/>
    <w:rsid w:val="00DC0396"/>
    <w:rsid w:val="00DD0C32"/>
    <w:rsid w:val="00DD6E50"/>
    <w:rsid w:val="00DE205E"/>
    <w:rsid w:val="00DE335F"/>
    <w:rsid w:val="00DE7E2A"/>
    <w:rsid w:val="00DF0C9D"/>
    <w:rsid w:val="00DF20E1"/>
    <w:rsid w:val="00DF6253"/>
    <w:rsid w:val="00DF69F8"/>
    <w:rsid w:val="00E20DCE"/>
    <w:rsid w:val="00E24B89"/>
    <w:rsid w:val="00E3329A"/>
    <w:rsid w:val="00E34A4A"/>
    <w:rsid w:val="00E36040"/>
    <w:rsid w:val="00E371E2"/>
    <w:rsid w:val="00E43057"/>
    <w:rsid w:val="00E45A7E"/>
    <w:rsid w:val="00E45D3A"/>
    <w:rsid w:val="00E4751D"/>
    <w:rsid w:val="00E47913"/>
    <w:rsid w:val="00E52BD5"/>
    <w:rsid w:val="00E56E1C"/>
    <w:rsid w:val="00E605D8"/>
    <w:rsid w:val="00E60BAE"/>
    <w:rsid w:val="00E656AC"/>
    <w:rsid w:val="00E71D9F"/>
    <w:rsid w:val="00E90A00"/>
    <w:rsid w:val="00EA155E"/>
    <w:rsid w:val="00EA3B71"/>
    <w:rsid w:val="00EA57F7"/>
    <w:rsid w:val="00EB3F3E"/>
    <w:rsid w:val="00EE223B"/>
    <w:rsid w:val="00EE59BE"/>
    <w:rsid w:val="00F0571D"/>
    <w:rsid w:val="00F251A3"/>
    <w:rsid w:val="00F30520"/>
    <w:rsid w:val="00F3602F"/>
    <w:rsid w:val="00F43F1C"/>
    <w:rsid w:val="00F4725B"/>
    <w:rsid w:val="00F5060F"/>
    <w:rsid w:val="00F55F48"/>
    <w:rsid w:val="00F61EAC"/>
    <w:rsid w:val="00F6329A"/>
    <w:rsid w:val="00F64089"/>
    <w:rsid w:val="00F70548"/>
    <w:rsid w:val="00F8102B"/>
    <w:rsid w:val="00F81386"/>
    <w:rsid w:val="00F8165C"/>
    <w:rsid w:val="00F86757"/>
    <w:rsid w:val="00F95066"/>
    <w:rsid w:val="00F95AE6"/>
    <w:rsid w:val="00FA0FB6"/>
    <w:rsid w:val="00FA2BDD"/>
    <w:rsid w:val="00FB562E"/>
    <w:rsid w:val="00FB6F81"/>
    <w:rsid w:val="00FB7A0A"/>
    <w:rsid w:val="00FD0DB4"/>
    <w:rsid w:val="00FD42EF"/>
    <w:rsid w:val="00FD5059"/>
    <w:rsid w:val="00FD7851"/>
    <w:rsid w:val="00FF52A2"/>
    <w:rsid w:val="00FF67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597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B3F3E"/>
    <w:pPr>
      <w:ind w:left="720"/>
      <w:contextualSpacing/>
    </w:pPr>
  </w:style>
  <w:style w:type="character" w:customStyle="1" w:styleId="hiterm">
    <w:name w:val="hiterm"/>
    <w:basedOn w:val="Carpredefinitoparagrafo"/>
    <w:rsid w:val="00AA6B2C"/>
  </w:style>
  <w:style w:type="paragraph" w:styleId="Intestazione">
    <w:name w:val="header"/>
    <w:basedOn w:val="Normale"/>
    <w:link w:val="IntestazioneCarattere"/>
    <w:uiPriority w:val="99"/>
    <w:unhideWhenUsed/>
    <w:rsid w:val="00D1579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15798"/>
  </w:style>
  <w:style w:type="paragraph" w:styleId="Pidipagina">
    <w:name w:val="footer"/>
    <w:basedOn w:val="Normale"/>
    <w:link w:val="PidipaginaCarattere"/>
    <w:uiPriority w:val="99"/>
    <w:unhideWhenUsed/>
    <w:rsid w:val="00D1579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5798"/>
  </w:style>
  <w:style w:type="paragraph" w:customStyle="1" w:styleId="Default">
    <w:name w:val="Default"/>
    <w:rsid w:val="00473ECF"/>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B368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68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31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29BA0-7269-4550-891F-CA0DA9908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3154</Words>
  <Characters>17978</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 penna</dc:creator>
  <cp:lastModifiedBy>Anna Maria Gavotti - Comune di Marino</cp:lastModifiedBy>
  <cp:revision>2</cp:revision>
  <dcterms:created xsi:type="dcterms:W3CDTF">2020-05-15T07:28:00Z</dcterms:created>
  <dcterms:modified xsi:type="dcterms:W3CDTF">2020-05-15T07:28:00Z</dcterms:modified>
</cp:coreProperties>
</file>