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0D" w:rsidRPr="00F2180D" w:rsidRDefault="00F2180D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</w:p>
    <w:p w:rsidR="00F2180D" w:rsidRPr="00F2180D" w:rsidRDefault="00F2180D" w:rsidP="00F2180D">
      <w:pPr>
        <w:shd w:val="clear" w:color="auto" w:fill="FFFFFF"/>
        <w:spacing w:after="312" w:line="240" w:lineRule="auto"/>
        <w:jc w:val="center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 xml:space="preserve">STRUMENTI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DI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 xml:space="preserve"> INTERNAZIONALIZZAZIONE PER LE IMPRESE</w:t>
      </w:r>
    </w:p>
    <w:p w:rsidR="00F2180D" w:rsidRPr="00F2180D" w:rsidRDefault="00F2180D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I finanziamenti erogati da SACE SIMEST supportano le imprese nel percorso di internazionalizzazione, dallo studio di fattibilità di un mercato estero fino alla realizzazione fisica di un punto vendita e non solo.</w:t>
      </w:r>
      <w:r w:rsidRPr="00F2180D">
        <w:rPr>
          <w:rFonts w:ascii="Century Gothic" w:eastAsia="Times New Roman" w:hAnsi="Century Gothic" w:cs="Arial"/>
          <w:sz w:val="27"/>
          <w:szCs w:val="27"/>
        </w:rPr>
        <w:br/>
        <w:t xml:space="preserve">Gli strumenti messi a disposizione da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Simest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 xml:space="preserve"> sono molteplici e si adattano a diverse esigenze, tra i vantaggi sostanziali ci sono la possibilità di </w:t>
      </w:r>
      <w:r w:rsidRPr="00F2180D">
        <w:rPr>
          <w:rFonts w:ascii="Century Gothic" w:eastAsia="Times New Roman" w:hAnsi="Century Gothic" w:cs="Arial"/>
          <w:b/>
          <w:bCs/>
          <w:sz w:val="27"/>
        </w:rPr>
        <w:t>accedere al credito senza necessità di presentare garanzie</w:t>
      </w:r>
      <w:r w:rsidRPr="00F2180D">
        <w:rPr>
          <w:rFonts w:ascii="Century Gothic" w:eastAsia="Times New Roman" w:hAnsi="Century Gothic" w:cs="Arial"/>
          <w:sz w:val="27"/>
          <w:szCs w:val="27"/>
        </w:rPr>
        <w:t> e l’ottenimento del </w:t>
      </w:r>
      <w:r w:rsidRPr="00F2180D">
        <w:rPr>
          <w:rFonts w:ascii="Century Gothic" w:eastAsia="Times New Roman" w:hAnsi="Century Gothic" w:cs="Arial"/>
          <w:b/>
          <w:bCs/>
          <w:sz w:val="27"/>
        </w:rPr>
        <w:t>contributo fino al 50% a fondo perduto</w:t>
      </w:r>
      <w:r w:rsidRPr="00F2180D">
        <w:rPr>
          <w:rFonts w:ascii="Century Gothic" w:eastAsia="Times New Roman" w:hAnsi="Century Gothic" w:cs="Arial"/>
          <w:sz w:val="27"/>
          <w:szCs w:val="27"/>
        </w:rPr>
        <w:t> sul finanziamento richiesto.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Sono previsti sette diversi piani finanziabili a sostegno delle imprese che vogliono espandere il proprio business ai mercati esteri: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Fiere, Mostre e Missioni di Sistema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Inserimento sui Mercati Internazionali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  <w:lang w:val="en-US"/>
        </w:rPr>
      </w:pPr>
      <w:r w:rsidRPr="00F2180D">
        <w:rPr>
          <w:rFonts w:ascii="Century Gothic" w:eastAsia="Times New Roman" w:hAnsi="Century Gothic" w:cs="Arial"/>
          <w:sz w:val="27"/>
          <w:szCs w:val="27"/>
          <w:lang w:val="en-US"/>
        </w:rPr>
        <w:t>Temporary Export Manager (T.E.M.)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E-Commerce per l’internazionalizzazione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Studi di Fattibilità per l’estero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Programmi di Assistenza Tecnica</w:t>
      </w:r>
    </w:p>
    <w:p w:rsidR="00321939" w:rsidRPr="00F2180D" w:rsidRDefault="00321939" w:rsidP="00F2180D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Century Gothic" w:eastAsia="Times New Roman" w:hAnsi="Century Gothic" w:cs="Arial"/>
          <w:sz w:val="27"/>
          <w:szCs w:val="27"/>
        </w:rPr>
      </w:pP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Patrimonializzazione</w:t>
      </w:r>
      <w:proofErr w:type="spellEnd"/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sz w:val="27"/>
          <w:szCs w:val="27"/>
        </w:rPr>
        <w:t>Si tratta di una possibilità molto importanti e vantaggiose che si adattano ad essere utilizzate da un numero di imprese sempre maggiore, a seconda della necessità dell’azienda verrà adottata un piano specifico.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t xml:space="preserve">FIERE, MOSTRE E MISSIONI </w:t>
      </w:r>
      <w:proofErr w:type="spellStart"/>
      <w:r w:rsidRPr="00F2180D">
        <w:rPr>
          <w:rFonts w:ascii="Century Gothic" w:eastAsia="Times New Roman" w:hAnsi="Century Gothic" w:cs="Arial"/>
          <w:b/>
          <w:bCs/>
          <w:sz w:val="27"/>
        </w:rPr>
        <w:t>DI</w:t>
      </w:r>
      <w:proofErr w:type="spellEnd"/>
      <w:r w:rsidRPr="00F2180D">
        <w:rPr>
          <w:rFonts w:ascii="Century Gothic" w:eastAsia="Times New Roman" w:hAnsi="Century Gothic" w:cs="Arial"/>
          <w:b/>
          <w:bCs/>
          <w:sz w:val="27"/>
        </w:rPr>
        <w:t xml:space="preserve"> SISTEMA. </w:t>
      </w:r>
      <w:r w:rsidRPr="00F2180D">
        <w:rPr>
          <w:rFonts w:ascii="Century Gothic" w:eastAsia="Times New Roman" w:hAnsi="Century Gothic" w:cs="Arial"/>
          <w:sz w:val="27"/>
          <w:szCs w:val="27"/>
        </w:rPr>
        <w:t>Questo strumento finanzia la partecipazione a fiere, mostre e missioni di sistema all’estero consentendo di promuovere il business su nuovi mercati. Si tratta di un finanziamento a tasso agevolato delle spese per area espositiva, spese logistiche, spese promozionali e spese per consulenze connesse alla partecipazione a fiere/mostre in Paesi esteri. Il finanziamento copre il 100% delle spese preventivate, fino a un massimo del 15% dei ricavi dell’ultimo esercizio, fino a un importo massimo finanziabile di 150.000 euro. Ha una durata di 4 anni di cui 1 di preammortamento.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lastRenderedPageBreak/>
        <w:t>INSERIMENTO SUI MERCATI INTERNAZIONALI</w:t>
      </w:r>
      <w:r w:rsidRPr="00F2180D">
        <w:rPr>
          <w:rFonts w:ascii="Century Gothic" w:eastAsia="Times New Roman" w:hAnsi="Century Gothic" w:cs="Arial"/>
          <w:sz w:val="27"/>
          <w:szCs w:val="27"/>
        </w:rPr>
        <w:t xml:space="preserve">. La misura intende agevolare l’ingresso nei nuovi mercati finanziando la realizzazione di strutture commerciali. Si tratta di un finanziamento a tasso agevolato delle spese per la realizzazione di un ufficio, show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room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>, negozio o corner o centro di assistenza post vendita in un Paese estero e relative attività promozionali. L’importo finanziabile corrisponde al 100% del totale preventivato e non può superare il 25% del fatturato medio dell’ultimo biennio, da un minimo di 50 mila euro fino ad un massimo di 4 milioni di euro. Ha una durata di 6 anni, di cui 2 di preammortamento.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t>TEMPORARY EXPORT MANAGER.</w:t>
      </w:r>
      <w:r w:rsidRPr="00F2180D">
        <w:rPr>
          <w:rFonts w:ascii="Century Gothic" w:eastAsia="Times New Roman" w:hAnsi="Century Gothic" w:cs="Arial"/>
          <w:sz w:val="27"/>
          <w:szCs w:val="27"/>
        </w:rPr>
        <w:t xml:space="preserve">  Lo strumento finanzia l’inserimento temporaneo nell’azienda di figure professionali specializzate (TEM,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Temporary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 xml:space="preserve"> Export Manager), per la realizzazione di progetti di internazionalizzazione, attraverso la sottoscrizione di un apposito contratto di prestazioni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consulenziali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>. Il finanziamento copre il 100% delle spese, fino a un massimo del 15% dei ricavi medi dell’ultimo biennio fino a un Importo massimo di 150.000euro.  La durata del finanziamento è di 4 anni di cui 2 di pre-ammortamento.</w:t>
      </w:r>
    </w:p>
    <w:p w:rsidR="008C3246" w:rsidRPr="00F2180D" w:rsidRDefault="008C3246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b/>
          <w:bCs/>
          <w:sz w:val="27"/>
        </w:rPr>
      </w:pP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t>E-COMMERCE.</w:t>
      </w:r>
      <w:r w:rsidRPr="00F2180D">
        <w:rPr>
          <w:rFonts w:ascii="Century Gothic" w:eastAsia="Times New Roman" w:hAnsi="Century Gothic" w:cs="Arial"/>
          <w:sz w:val="27"/>
          <w:szCs w:val="27"/>
        </w:rPr>
        <w:t xml:space="preserve"> Si tratta di un finanziamento a tasso agevolato che aiuta le aziende ad accedere al commercio elettronico per aumentare le vendite all’estero, da realizzare secondo due modalità alternative: 1. realizzare direttamente la piattaforma informatica finalizzata al commercio elettronico; 2. utilizzare un market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place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 xml:space="preserve"> finalizzato al commercio elettronico fornito da soggetti terzi. Il finanziamento copre il 100% delle spese, fino a un massimo del 15% dei ricavi medi dell’ultimo biennio, l’importo massimo finanziabile è di 450.000 € per la realizzazione di una piattaforma propria e di 300.000 € per l’utilizzo di un market </w:t>
      </w:r>
      <w:proofErr w:type="spellStart"/>
      <w:r w:rsidRPr="00F2180D">
        <w:rPr>
          <w:rFonts w:ascii="Century Gothic" w:eastAsia="Times New Roman" w:hAnsi="Century Gothic" w:cs="Arial"/>
          <w:sz w:val="27"/>
          <w:szCs w:val="27"/>
        </w:rPr>
        <w:t>place</w:t>
      </w:r>
      <w:proofErr w:type="spellEnd"/>
      <w:r w:rsidRPr="00F2180D">
        <w:rPr>
          <w:rFonts w:ascii="Century Gothic" w:eastAsia="Times New Roman" w:hAnsi="Century Gothic" w:cs="Arial"/>
          <w:sz w:val="27"/>
          <w:szCs w:val="27"/>
        </w:rPr>
        <w:t xml:space="preserve"> fornito da soggetti terzi. L’importo minimo finanziabile è di euro 25.000. Il finanziamento ha una durata dei 4 anni, di cui 1 di pre-ammortamento.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t xml:space="preserve">STUDI </w:t>
      </w:r>
      <w:proofErr w:type="spellStart"/>
      <w:r w:rsidRPr="00F2180D">
        <w:rPr>
          <w:rFonts w:ascii="Century Gothic" w:eastAsia="Times New Roman" w:hAnsi="Century Gothic" w:cs="Arial"/>
          <w:b/>
          <w:bCs/>
          <w:sz w:val="27"/>
        </w:rPr>
        <w:t>DI</w:t>
      </w:r>
      <w:proofErr w:type="spellEnd"/>
      <w:r w:rsidRPr="00F2180D">
        <w:rPr>
          <w:rFonts w:ascii="Century Gothic" w:eastAsia="Times New Roman" w:hAnsi="Century Gothic" w:cs="Arial"/>
          <w:b/>
          <w:bCs/>
          <w:sz w:val="27"/>
        </w:rPr>
        <w:t xml:space="preserve"> FATTIBILITÀ.</w:t>
      </w:r>
      <w:r w:rsidRPr="00F2180D">
        <w:rPr>
          <w:rFonts w:ascii="Century Gothic" w:eastAsia="Times New Roman" w:hAnsi="Century Gothic" w:cs="Arial"/>
          <w:sz w:val="27"/>
          <w:szCs w:val="27"/>
        </w:rPr>
        <w:t> Strumento che consente di effettuare studi di fattibilità finalizzati a valutare l’opportunità di effettuare un investimento commerciale o produttivo all’estero. Si tratta di un finanziamento a tasso agevolato delle spese di personale interno, viaggi, soggiorni e personale esterno, per la redazione di studi di fattibilità collegati a investimenti produttivi o commerciali in Paesi esteri. Il finanziamento copre il 100% dell’importo delle spese preventivate, fino al 15% del fatturato medio dell’ultimo biennio, fino a un massimo di 200.000€ per studi collegati a investimenti commerciali e 350.000€ per studi collegati a investimenti produttivi. Ha una durata di 4 anni, di cui 1 di preammortamento.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lastRenderedPageBreak/>
        <w:t xml:space="preserve">PROGRAMMI </w:t>
      </w:r>
      <w:proofErr w:type="spellStart"/>
      <w:r w:rsidRPr="00F2180D">
        <w:rPr>
          <w:rFonts w:ascii="Century Gothic" w:eastAsia="Times New Roman" w:hAnsi="Century Gothic" w:cs="Arial"/>
          <w:b/>
          <w:bCs/>
          <w:sz w:val="27"/>
        </w:rPr>
        <w:t>DI</w:t>
      </w:r>
      <w:proofErr w:type="spellEnd"/>
      <w:r w:rsidRPr="00F2180D">
        <w:rPr>
          <w:rFonts w:ascii="Century Gothic" w:eastAsia="Times New Roman" w:hAnsi="Century Gothic" w:cs="Arial"/>
          <w:b/>
          <w:bCs/>
          <w:sz w:val="27"/>
        </w:rPr>
        <w:t xml:space="preserve"> ASSISTENZA TECNICA. </w:t>
      </w:r>
      <w:r w:rsidRPr="00F2180D">
        <w:rPr>
          <w:rFonts w:ascii="Century Gothic" w:eastAsia="Times New Roman" w:hAnsi="Century Gothic" w:cs="Arial"/>
          <w:sz w:val="27"/>
          <w:szCs w:val="27"/>
        </w:rPr>
        <w:t> Questo piano sostiene finanziariamente la formazione del personale in loco nelle iniziative di investimento internazionale. Si tratta di un finanziamento a tasso agevolato delle spese per personale interno, viaggi, soggiorni e personale esterno, sostenute per l’avviamento di un programma di formazione del personale operativo all’estero. Il finanziamento copre il 100% dell’importo delle spese preventivate, fino al 15% dei ricavi medi dell’ultimo biennio ed un importo massimo finanziabile di 300.000 euro e euro 100.000 per assistenza post-vendita. Ha una durata di 4 anni, di cui 1 di preammortamento.</w:t>
      </w:r>
    </w:p>
    <w:p w:rsidR="00321939" w:rsidRPr="00F2180D" w:rsidRDefault="00321939" w:rsidP="00F2180D">
      <w:pPr>
        <w:shd w:val="clear" w:color="auto" w:fill="FFFFFF"/>
        <w:spacing w:after="312" w:line="240" w:lineRule="auto"/>
        <w:jc w:val="both"/>
        <w:rPr>
          <w:rFonts w:ascii="Century Gothic" w:eastAsia="Times New Roman" w:hAnsi="Century Gothic" w:cs="Arial"/>
          <w:sz w:val="27"/>
          <w:szCs w:val="27"/>
        </w:rPr>
      </w:pPr>
      <w:r w:rsidRPr="00F2180D">
        <w:rPr>
          <w:rFonts w:ascii="Century Gothic" w:eastAsia="Times New Roman" w:hAnsi="Century Gothic" w:cs="Arial"/>
          <w:b/>
          <w:bCs/>
          <w:sz w:val="27"/>
        </w:rPr>
        <w:t>PATRIMONIALIZZAZIONE. </w:t>
      </w:r>
      <w:r w:rsidRPr="00F2180D">
        <w:rPr>
          <w:rFonts w:ascii="Century Gothic" w:eastAsia="Times New Roman" w:hAnsi="Century Gothic" w:cs="Arial"/>
          <w:sz w:val="27"/>
          <w:szCs w:val="27"/>
        </w:rPr>
        <w:t>Il finanziamento è rivolto alle PMI che intendono raggiungere, migliorare o mantenere il livello di solidità patrimoniale per renderle più competitive sui mercati internazionali. Questa misura prevede uno importo massimo finanziabile di 800.000 euro fino al 40% del patrimonio netto dell’impresa e ha una durata di 6 anni, di cui 2 di preammortamento.</w:t>
      </w:r>
    </w:p>
    <w:p w:rsidR="00A33D40" w:rsidRPr="00F2180D" w:rsidRDefault="00A33D40">
      <w:pPr>
        <w:rPr>
          <w:rFonts w:ascii="Century Gothic" w:hAnsi="Century Gothic"/>
        </w:rPr>
      </w:pPr>
    </w:p>
    <w:sectPr w:rsidR="00A33D40" w:rsidRPr="00F2180D" w:rsidSect="00620F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301"/>
    <w:multiLevelType w:val="multilevel"/>
    <w:tmpl w:val="096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21939"/>
    <w:rsid w:val="00321939"/>
    <w:rsid w:val="00620F6C"/>
    <w:rsid w:val="008C3246"/>
    <w:rsid w:val="00A33D40"/>
    <w:rsid w:val="00E25B24"/>
    <w:rsid w:val="00F2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F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2193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2</cp:revision>
  <dcterms:created xsi:type="dcterms:W3CDTF">2021-01-18T13:13:00Z</dcterms:created>
  <dcterms:modified xsi:type="dcterms:W3CDTF">2021-01-18T13:13:00Z</dcterms:modified>
</cp:coreProperties>
</file>